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B5214" w14:textId="77777777" w:rsidR="00991236" w:rsidRDefault="00194584">
      <w:pPr>
        <w:pStyle w:val="Ttulo"/>
      </w:pPr>
      <w:r>
        <w:t>Guía de estudio y exposición</w:t>
      </w:r>
    </w:p>
    <w:p w14:paraId="7E68B41C" w14:textId="77777777" w:rsidR="00991236" w:rsidRDefault="00194584">
      <w:r>
        <w:rPr>
          <w:sz w:val="26"/>
        </w:rPr>
        <w:t>Gravedad de las víctimas de tránsito en Paraguay, 2021. Fases 1, 2 y 3.</w:t>
      </w:r>
    </w:p>
    <w:p w14:paraId="11D29720" w14:textId="77777777" w:rsidR="00991236" w:rsidRDefault="00194584">
      <w:r>
        <w:t>Esta guía sigue las 15 diapositivas del PPT con portada marrón. Incluye qué decir, qué señalar y respuestas para estudiar. Se reparte entre tres personas para practicar una exposición de 15 minutos, más las preguntas del profesor.</w:t>
      </w:r>
    </w:p>
    <w:p w14:paraId="56FC7154" w14:textId="77777777" w:rsidR="00991236" w:rsidRDefault="00194584">
      <w:pPr>
        <w:pStyle w:val="Ttulo1"/>
      </w:pPr>
      <w:r>
        <w:t>Reparto de la exposición</w:t>
      </w:r>
    </w:p>
    <w:tbl>
      <w:tblPr>
        <w:tblW w:w="0" w:type="auto"/>
        <w:jc w:val="center"/>
        <w:tblLayout w:type="fixed"/>
        <w:tblLook w:val="04A0" w:firstRow="1" w:lastRow="0" w:firstColumn="1" w:lastColumn="0" w:noHBand="0" w:noVBand="1"/>
      </w:tblPr>
      <w:tblGrid>
        <w:gridCol w:w="1417"/>
        <w:gridCol w:w="1644"/>
        <w:gridCol w:w="1928"/>
        <w:gridCol w:w="4422"/>
      </w:tblGrid>
      <w:tr w:rsidR="00991236" w14:paraId="3AA77C12" w14:textId="77777777">
        <w:trPr>
          <w:cantSplit/>
          <w:tblHeader/>
          <w:jc w:val="center"/>
        </w:trPr>
        <w:tc>
          <w:tcPr>
            <w:tcW w:w="1417" w:type="dxa"/>
            <w:tcBorders>
              <w:top w:val="single" w:sz="4" w:space="0" w:color="D5C4AC"/>
              <w:left w:val="single" w:sz="4" w:space="0" w:color="D5C4AC"/>
              <w:bottom w:val="single" w:sz="4" w:space="0" w:color="D5C4AC"/>
              <w:right w:val="single" w:sz="4" w:space="0" w:color="D5C4AC"/>
            </w:tcBorders>
            <w:shd w:val="clear" w:color="auto" w:fill="21160A"/>
            <w:vAlign w:val="center"/>
          </w:tcPr>
          <w:p w14:paraId="2D948107" w14:textId="77777777" w:rsidR="00991236" w:rsidRDefault="00194584">
            <w:pPr>
              <w:spacing w:before="80" w:after="80" w:line="240" w:lineRule="auto"/>
            </w:pPr>
            <w:r>
              <w:rPr>
                <w:b/>
                <w:color w:val="FFFFFF"/>
                <w:sz w:val="21"/>
              </w:rPr>
              <w:t>Persona</w:t>
            </w:r>
          </w:p>
        </w:tc>
        <w:tc>
          <w:tcPr>
            <w:tcW w:w="1644" w:type="dxa"/>
            <w:tcBorders>
              <w:top w:val="single" w:sz="4" w:space="0" w:color="D5C4AC"/>
              <w:left w:val="single" w:sz="4" w:space="0" w:color="D5C4AC"/>
              <w:bottom w:val="single" w:sz="4" w:space="0" w:color="D5C4AC"/>
              <w:right w:val="single" w:sz="4" w:space="0" w:color="D5C4AC"/>
            </w:tcBorders>
            <w:shd w:val="clear" w:color="auto" w:fill="21160A"/>
            <w:vAlign w:val="center"/>
          </w:tcPr>
          <w:p w14:paraId="3526B765" w14:textId="77777777" w:rsidR="00991236" w:rsidRDefault="00194584">
            <w:pPr>
              <w:spacing w:before="80" w:after="80" w:line="240" w:lineRule="auto"/>
            </w:pPr>
            <w:r>
              <w:rPr>
                <w:b/>
                <w:color w:val="FFFFFF"/>
                <w:sz w:val="21"/>
              </w:rPr>
              <w:t>Diapositivas</w:t>
            </w:r>
          </w:p>
        </w:tc>
        <w:tc>
          <w:tcPr>
            <w:tcW w:w="1928" w:type="dxa"/>
            <w:tcBorders>
              <w:top w:val="single" w:sz="4" w:space="0" w:color="D5C4AC"/>
              <w:left w:val="single" w:sz="4" w:space="0" w:color="D5C4AC"/>
              <w:bottom w:val="single" w:sz="4" w:space="0" w:color="D5C4AC"/>
              <w:right w:val="single" w:sz="4" w:space="0" w:color="D5C4AC"/>
            </w:tcBorders>
            <w:shd w:val="clear" w:color="auto" w:fill="21160A"/>
            <w:vAlign w:val="center"/>
          </w:tcPr>
          <w:p w14:paraId="29566CF8" w14:textId="77777777" w:rsidR="00991236" w:rsidRDefault="00194584">
            <w:pPr>
              <w:spacing w:before="80" w:after="80" w:line="240" w:lineRule="auto"/>
            </w:pPr>
            <w:r>
              <w:rPr>
                <w:b/>
                <w:color w:val="FFFFFF"/>
                <w:sz w:val="21"/>
              </w:rPr>
              <w:t>Tramo</w:t>
            </w:r>
          </w:p>
        </w:tc>
        <w:tc>
          <w:tcPr>
            <w:tcW w:w="4422" w:type="dxa"/>
            <w:tcBorders>
              <w:top w:val="single" w:sz="4" w:space="0" w:color="D5C4AC"/>
              <w:left w:val="single" w:sz="4" w:space="0" w:color="D5C4AC"/>
              <w:bottom w:val="single" w:sz="4" w:space="0" w:color="D5C4AC"/>
              <w:right w:val="single" w:sz="4" w:space="0" w:color="D5C4AC"/>
            </w:tcBorders>
            <w:shd w:val="clear" w:color="auto" w:fill="21160A"/>
            <w:vAlign w:val="center"/>
          </w:tcPr>
          <w:p w14:paraId="739F204F" w14:textId="77777777" w:rsidR="00991236" w:rsidRDefault="00194584">
            <w:pPr>
              <w:spacing w:before="80" w:after="80" w:line="240" w:lineRule="auto"/>
            </w:pPr>
            <w:r>
              <w:rPr>
                <w:b/>
                <w:color w:val="FFFFFF"/>
                <w:sz w:val="21"/>
              </w:rPr>
              <w:t>Qué explica</w:t>
            </w:r>
          </w:p>
        </w:tc>
      </w:tr>
      <w:tr w:rsidR="00991236" w14:paraId="214B9547" w14:textId="77777777">
        <w:trPr>
          <w:cantSplit/>
          <w:jc w:val="center"/>
        </w:trPr>
        <w:tc>
          <w:tcPr>
            <w:tcW w:w="1417"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464FA4AB" w14:textId="77777777" w:rsidR="00991236" w:rsidRDefault="00194584">
            <w:pPr>
              <w:spacing w:before="80" w:after="80" w:line="240" w:lineRule="auto"/>
            </w:pPr>
            <w:r>
              <w:rPr>
                <w:sz w:val="21"/>
              </w:rPr>
              <w:t>Persona 1</w:t>
            </w:r>
          </w:p>
        </w:tc>
        <w:tc>
          <w:tcPr>
            <w:tcW w:w="1644"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786CFDB3" w14:textId="77777777" w:rsidR="00991236" w:rsidRDefault="00194584">
            <w:pPr>
              <w:spacing w:before="80" w:after="80" w:line="240" w:lineRule="auto"/>
            </w:pPr>
            <w:r>
              <w:rPr>
                <w:sz w:val="21"/>
              </w:rPr>
              <w:t>1 a 5</w:t>
            </w:r>
          </w:p>
        </w:tc>
        <w:tc>
          <w:tcPr>
            <w:tcW w:w="1928"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084DA41B" w14:textId="77777777" w:rsidR="00991236" w:rsidRDefault="00194584">
            <w:pPr>
              <w:spacing w:before="80" w:after="80" w:line="240" w:lineRule="auto"/>
            </w:pPr>
            <w:r>
              <w:rPr>
                <w:sz w:val="21"/>
              </w:rPr>
              <w:t>0:00 a 5:00</w:t>
            </w:r>
          </w:p>
        </w:tc>
        <w:tc>
          <w:tcPr>
            <w:tcW w:w="4422"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259D5ED3" w14:textId="77777777" w:rsidR="00991236" w:rsidRDefault="00194584">
            <w:pPr>
              <w:spacing w:before="80" w:after="80" w:line="240" w:lineRule="auto"/>
            </w:pPr>
            <w:r>
              <w:rPr>
                <w:sz w:val="21"/>
              </w:rPr>
              <w:t>Problema, fuentes, preparación y siniestros.</w:t>
            </w:r>
          </w:p>
        </w:tc>
      </w:tr>
      <w:tr w:rsidR="00991236" w14:paraId="03D0E5F2" w14:textId="77777777">
        <w:trPr>
          <w:cantSplit/>
          <w:jc w:val="center"/>
        </w:trPr>
        <w:tc>
          <w:tcPr>
            <w:tcW w:w="1417" w:type="dxa"/>
            <w:tcBorders>
              <w:top w:val="single" w:sz="4" w:space="0" w:color="D5C4AC"/>
              <w:left w:val="single" w:sz="4" w:space="0" w:color="D5C4AC"/>
              <w:bottom w:val="single" w:sz="4" w:space="0" w:color="D5C4AC"/>
              <w:right w:val="single" w:sz="4" w:space="0" w:color="D5C4AC"/>
            </w:tcBorders>
            <w:shd w:val="clear" w:color="auto" w:fill="F4EEE5"/>
            <w:vAlign w:val="center"/>
          </w:tcPr>
          <w:p w14:paraId="6BAA895A" w14:textId="77777777" w:rsidR="00991236" w:rsidRDefault="00194584">
            <w:pPr>
              <w:spacing w:before="80" w:after="80" w:line="240" w:lineRule="auto"/>
            </w:pPr>
            <w:r>
              <w:rPr>
                <w:sz w:val="21"/>
              </w:rPr>
              <w:t>Persona 2</w:t>
            </w:r>
          </w:p>
        </w:tc>
        <w:tc>
          <w:tcPr>
            <w:tcW w:w="1644" w:type="dxa"/>
            <w:tcBorders>
              <w:top w:val="single" w:sz="4" w:space="0" w:color="D5C4AC"/>
              <w:left w:val="single" w:sz="4" w:space="0" w:color="D5C4AC"/>
              <w:bottom w:val="single" w:sz="4" w:space="0" w:color="D5C4AC"/>
              <w:right w:val="single" w:sz="4" w:space="0" w:color="D5C4AC"/>
            </w:tcBorders>
            <w:shd w:val="clear" w:color="auto" w:fill="F4EEE5"/>
            <w:vAlign w:val="center"/>
          </w:tcPr>
          <w:p w14:paraId="08642341" w14:textId="77777777" w:rsidR="00991236" w:rsidRDefault="00194584">
            <w:pPr>
              <w:spacing w:before="80" w:after="80" w:line="240" w:lineRule="auto"/>
            </w:pPr>
            <w:r>
              <w:rPr>
                <w:sz w:val="21"/>
              </w:rPr>
              <w:t>6 a 10</w:t>
            </w:r>
          </w:p>
        </w:tc>
        <w:tc>
          <w:tcPr>
            <w:tcW w:w="1928" w:type="dxa"/>
            <w:tcBorders>
              <w:top w:val="single" w:sz="4" w:space="0" w:color="D5C4AC"/>
              <w:left w:val="single" w:sz="4" w:space="0" w:color="D5C4AC"/>
              <w:bottom w:val="single" w:sz="4" w:space="0" w:color="D5C4AC"/>
              <w:right w:val="single" w:sz="4" w:space="0" w:color="D5C4AC"/>
            </w:tcBorders>
            <w:shd w:val="clear" w:color="auto" w:fill="F4EEE5"/>
            <w:vAlign w:val="center"/>
          </w:tcPr>
          <w:p w14:paraId="04A93B46" w14:textId="77777777" w:rsidR="00991236" w:rsidRDefault="00194584">
            <w:pPr>
              <w:spacing w:before="80" w:after="80" w:line="240" w:lineRule="auto"/>
            </w:pPr>
            <w:r>
              <w:rPr>
                <w:sz w:val="21"/>
              </w:rPr>
              <w:t>5:00 a 10:00</w:t>
            </w:r>
          </w:p>
        </w:tc>
        <w:tc>
          <w:tcPr>
            <w:tcW w:w="4422" w:type="dxa"/>
            <w:tcBorders>
              <w:top w:val="single" w:sz="4" w:space="0" w:color="D5C4AC"/>
              <w:left w:val="single" w:sz="4" w:space="0" w:color="D5C4AC"/>
              <w:bottom w:val="single" w:sz="4" w:space="0" w:color="D5C4AC"/>
              <w:right w:val="single" w:sz="4" w:space="0" w:color="D5C4AC"/>
            </w:tcBorders>
            <w:shd w:val="clear" w:color="auto" w:fill="F4EEE5"/>
            <w:vAlign w:val="center"/>
          </w:tcPr>
          <w:p w14:paraId="6B53AAEB" w14:textId="77777777" w:rsidR="00991236" w:rsidRDefault="00194584">
            <w:pPr>
              <w:spacing w:before="80" w:after="80" w:line="240" w:lineRule="auto"/>
            </w:pPr>
            <w:r>
              <w:rPr>
                <w:sz w:val="21"/>
              </w:rPr>
              <w:t>Diferencias entre grupos e hipótesis H1 a H4.</w:t>
            </w:r>
          </w:p>
        </w:tc>
      </w:tr>
      <w:tr w:rsidR="00991236" w14:paraId="42087C70" w14:textId="77777777">
        <w:trPr>
          <w:cantSplit/>
          <w:jc w:val="center"/>
        </w:trPr>
        <w:tc>
          <w:tcPr>
            <w:tcW w:w="1417"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00123009" w14:textId="77777777" w:rsidR="00991236" w:rsidRDefault="00194584">
            <w:pPr>
              <w:spacing w:before="80" w:after="80" w:line="240" w:lineRule="auto"/>
            </w:pPr>
            <w:r>
              <w:rPr>
                <w:sz w:val="21"/>
              </w:rPr>
              <w:t>Persona 3</w:t>
            </w:r>
          </w:p>
        </w:tc>
        <w:tc>
          <w:tcPr>
            <w:tcW w:w="1644"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54C988CF" w14:textId="77777777" w:rsidR="00991236" w:rsidRDefault="00194584">
            <w:pPr>
              <w:spacing w:before="80" w:after="80" w:line="240" w:lineRule="auto"/>
            </w:pPr>
            <w:r>
              <w:rPr>
                <w:sz w:val="21"/>
              </w:rPr>
              <w:t>11 a 15</w:t>
            </w:r>
          </w:p>
        </w:tc>
        <w:tc>
          <w:tcPr>
            <w:tcW w:w="1928"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5292483D" w14:textId="77777777" w:rsidR="00991236" w:rsidRDefault="00194584">
            <w:pPr>
              <w:spacing w:before="80" w:after="80" w:line="240" w:lineRule="auto"/>
            </w:pPr>
            <w:r>
              <w:rPr>
                <w:sz w:val="21"/>
              </w:rPr>
              <w:t>10:00 a 15:00</w:t>
            </w:r>
          </w:p>
        </w:tc>
        <w:tc>
          <w:tcPr>
            <w:tcW w:w="4422" w:type="dxa"/>
            <w:tcBorders>
              <w:top w:val="single" w:sz="4" w:space="0" w:color="D5C4AC"/>
              <w:left w:val="single" w:sz="4" w:space="0" w:color="D5C4AC"/>
              <w:bottom w:val="single" w:sz="4" w:space="0" w:color="D5C4AC"/>
              <w:right w:val="single" w:sz="4" w:space="0" w:color="D5C4AC"/>
            </w:tcBorders>
            <w:shd w:val="clear" w:color="auto" w:fill="FFFFFF"/>
            <w:vAlign w:val="center"/>
          </w:tcPr>
          <w:p w14:paraId="50EA27DF" w14:textId="77777777" w:rsidR="00991236" w:rsidRDefault="00194584">
            <w:pPr>
              <w:spacing w:before="80" w:after="80" w:line="240" w:lineRule="auto"/>
            </w:pPr>
            <w:r>
              <w:rPr>
                <w:sz w:val="21"/>
              </w:rPr>
              <w:t>Modelos, resultados, errores y conclusión.</w:t>
            </w:r>
          </w:p>
        </w:tc>
      </w:tr>
    </w:tbl>
    <w:p w14:paraId="5A9ABA24" w14:textId="77777777" w:rsidR="00991236" w:rsidRDefault="00194584">
      <w:pPr>
        <w:pStyle w:val="Ttulo1"/>
      </w:pPr>
      <w:r>
        <w:t>Cómo usarlo al practicar</w:t>
      </w:r>
    </w:p>
    <w:p w14:paraId="7CE3CEAA" w14:textId="77777777" w:rsidR="00991236" w:rsidRDefault="00194584">
      <w:r>
        <w:t>Los párrafos con “Para decir” forman el guion oral. Los siguientes párrafos continúan la explicación de esa diapositiva. Las indicaciones “Qué señalar” ayudan a acompañar los gráficos y no se leen al público.</w:t>
      </w:r>
    </w:p>
    <w:p w14:paraId="4A7C5CEC" w14:textId="77777777" w:rsidR="00991236" w:rsidRDefault="00194584">
      <w:r>
        <w:t>Los tiempos incluyen mirar al público, señalar las barras y hacer pausas. Ensayen con cronómetro: son orientativos, no una garantía de que la lectura dure exactamente cinco minutos por persona.</w:t>
      </w:r>
    </w:p>
    <w:p w14:paraId="2005ABAB" w14:textId="77777777" w:rsidR="00991236" w:rsidRDefault="00194584">
      <w:r>
        <w:t>Usen el guion como apoyo, sin leerlo de corrido ni intentar memorizar cada decimal. Conviene conservar las cifras clave y explicar qué significan.</w:t>
      </w:r>
    </w:p>
    <w:p w14:paraId="1497821C" w14:textId="77777777" w:rsidR="00991236" w:rsidRDefault="00194584">
      <w:r>
        <w:t>La parte final contiene respuestas de apoyo. No se expone dentro de los 15 minutos. Todos los integrantes deben poder responder sobre cualquiera de las tres fases.</w:t>
      </w:r>
    </w:p>
    <w:p w14:paraId="13672E7D" w14:textId="77777777" w:rsidR="00991236" w:rsidRDefault="00194584">
      <w:pPr>
        <w:pStyle w:val="Ttulo1"/>
      </w:pPr>
      <w:r>
        <w:t>Idea que debe quedar clara</w:t>
      </w:r>
    </w:p>
    <w:p w14:paraId="786F1B5E" w14:textId="77777777" w:rsidR="00991236" w:rsidRDefault="00194584">
      <w:r>
        <w:t>Encontramos asociaciones entre factores y gravedad dentro de los registros. El Modelo A tiene capacidad limitada. Ninguno de esos resultados demuestra causalidad ni justifica un uso clínico.</w:t>
      </w:r>
    </w:p>
    <w:p w14:paraId="5979DA8F" w14:textId="77777777" w:rsidR="00991236" w:rsidRDefault="00194584">
      <w:pPr>
        <w:pStyle w:val="Ttulo1"/>
        <w:pageBreakBefore/>
        <w:spacing w:before="0"/>
      </w:pPr>
      <w:r>
        <w:lastRenderedPageBreak/>
        <w:t>Persona 1</w:t>
      </w:r>
    </w:p>
    <w:p w14:paraId="32C29211" w14:textId="77777777" w:rsidR="00991236" w:rsidRDefault="00194584">
      <w:r>
        <w:rPr>
          <w:sz w:val="22"/>
        </w:rPr>
        <w:t>Diapositivas 1 a 5. Duración total sugerida: 5 minutos.</w:t>
      </w:r>
    </w:p>
    <w:p w14:paraId="6D6A6227" w14:textId="77777777" w:rsidR="00991236" w:rsidRDefault="00194584">
      <w:pPr>
        <w:pStyle w:val="Ttulo2"/>
      </w:pPr>
      <w:r>
        <w:t>Diapositiva 1  Gravedad de las víctimas de tránsito en Paraguay</w:t>
      </w:r>
    </w:p>
    <w:p w14:paraId="2544530D" w14:textId="77777777" w:rsidR="00991236" w:rsidRDefault="00194584">
      <w:pPr>
        <w:keepNext/>
        <w:spacing w:after="80"/>
      </w:pPr>
      <w:r>
        <w:rPr>
          <w:b/>
        </w:rPr>
        <w:t xml:space="preserve">Tiempo orientativo: </w:t>
      </w:r>
      <w:r>
        <w:rPr>
          <w:sz w:val="21"/>
        </w:rPr>
        <w:t>20 segundos</w:t>
      </w:r>
    </w:p>
    <w:p w14:paraId="4932EE51" w14:textId="77777777" w:rsidR="00991236" w:rsidRDefault="00194584">
      <w:pPr>
        <w:keepNext/>
        <w:spacing w:after="140"/>
      </w:pPr>
      <w:r>
        <w:rPr>
          <w:b/>
          <w:color w:val="633D10"/>
        </w:rPr>
        <w:t xml:space="preserve">Qué señalar: </w:t>
      </w:r>
      <w:r>
        <w:rPr>
          <w:color w:val="633D10"/>
          <w:sz w:val="21"/>
        </w:rPr>
        <w:t>Presentar el título y los tres integrantes.</w:t>
      </w:r>
    </w:p>
    <w:p w14:paraId="41ED760A" w14:textId="77777777" w:rsidR="00991236" w:rsidRDefault="00194584">
      <w:r>
        <w:rPr>
          <w:b/>
        </w:rPr>
        <w:t xml:space="preserve">Para decir: </w:t>
      </w:r>
      <w:r>
        <w:t>Buenas tardes. Nuestro proyecto analiza la gravedad de las víctimas de tránsito registradas en Paraguay durante 2021. Lo desarrollamos en tres fases: primero describimos los datos, después contrastamos asociaciones y finalmente comparamos modelos para clasificar a las víctimas como heridas o fallecidas.</w:t>
      </w:r>
    </w:p>
    <w:p w14:paraId="4DD62497" w14:textId="77777777" w:rsidR="00991236" w:rsidRDefault="00194584">
      <w:pPr>
        <w:pStyle w:val="Ttulo2"/>
      </w:pPr>
      <w:r>
        <w:t>Diapositiva 2  Problema y pregunta de investigación</w:t>
      </w:r>
    </w:p>
    <w:p w14:paraId="2B468F38" w14:textId="77777777" w:rsidR="00991236" w:rsidRDefault="00194584">
      <w:pPr>
        <w:keepNext/>
        <w:spacing w:after="80"/>
      </w:pPr>
      <w:r>
        <w:rPr>
          <w:b/>
        </w:rPr>
        <w:t xml:space="preserve">Tiempo orientativo: </w:t>
      </w:r>
      <w:r>
        <w:rPr>
          <w:sz w:val="21"/>
        </w:rPr>
        <w:t>75 segundos</w:t>
      </w:r>
    </w:p>
    <w:p w14:paraId="4CF1336E" w14:textId="77777777" w:rsidR="00991236" w:rsidRDefault="00194584">
      <w:pPr>
        <w:keepNext/>
        <w:spacing w:after="140"/>
      </w:pPr>
      <w:r>
        <w:rPr>
          <w:b/>
          <w:color w:val="633D10"/>
        </w:rPr>
        <w:t xml:space="preserve">Qué señalar: </w:t>
      </w:r>
      <w:r>
        <w:rPr>
          <w:color w:val="633D10"/>
          <w:sz w:val="21"/>
        </w:rPr>
        <w:t>Señalar 17,84 %, las barras y el recorrido de las tres fases.</w:t>
      </w:r>
    </w:p>
    <w:p w14:paraId="5C4EE5DD" w14:textId="77777777" w:rsidR="00991236" w:rsidRDefault="00194584">
      <w:r>
        <w:rPr>
          <w:b/>
        </w:rPr>
        <w:t xml:space="preserve">Para decir: </w:t>
      </w:r>
      <w:r>
        <w:t>La fuente nacional registra 5.493 víctimas, de las cuales 980 fallecieron. Esto representa aproximadamente el 17,84 por ciento de las víctimas de esa fuente.</w:t>
      </w:r>
    </w:p>
    <w:p w14:paraId="59D5467F" w14:textId="77777777" w:rsidR="00991236" w:rsidRDefault="00194584">
      <w:r>
        <w:t>Nuestra pregunta fue cómo se relacionan el sexo, la edad, el territorio y el uso de motocicleta con la gravedad registrada. Para responderla, describimos los patrones, evaluamos la evidencia estadística y probamos modelos de clasificación.</w:t>
      </w:r>
    </w:p>
    <w:p w14:paraId="65FE4F99" w14:textId="77777777" w:rsidR="00991236" w:rsidRDefault="00194584">
      <w:r>
        <w:t>Es importante aclarar el alcance: estudiamos víctimas que ya aparecen en los registros. No calculamos la probabilidad de que cualquier habitante sufra un accidente. Además, las cuatro características no están disponibles juntas para cada víctima.</w:t>
      </w:r>
    </w:p>
    <w:p w14:paraId="68409C23" w14:textId="77777777" w:rsidR="00991236" w:rsidRDefault="00194584">
      <w:pPr>
        <w:pStyle w:val="Ttulo2"/>
      </w:pPr>
      <w:r>
        <w:t>Diapositiva 3  Fuentes y coberturas</w:t>
      </w:r>
    </w:p>
    <w:p w14:paraId="11B2D8B6" w14:textId="77777777" w:rsidR="00991236" w:rsidRDefault="00194584">
      <w:pPr>
        <w:keepNext/>
        <w:spacing w:after="80"/>
      </w:pPr>
      <w:r>
        <w:rPr>
          <w:b/>
        </w:rPr>
        <w:t xml:space="preserve">Tiempo orientativo: </w:t>
      </w:r>
      <w:r>
        <w:rPr>
          <w:sz w:val="21"/>
        </w:rPr>
        <w:t>60 segundos</w:t>
      </w:r>
    </w:p>
    <w:p w14:paraId="15308A79" w14:textId="77777777" w:rsidR="00991236" w:rsidRDefault="00194584">
      <w:pPr>
        <w:keepNext/>
        <w:spacing w:after="140"/>
      </w:pPr>
      <w:r>
        <w:rPr>
          <w:b/>
          <w:color w:val="633D10"/>
        </w:rPr>
        <w:t xml:space="preserve">Qué señalar: </w:t>
      </w:r>
      <w:r>
        <w:rPr>
          <w:color w:val="633D10"/>
          <w:sz w:val="21"/>
        </w:rPr>
        <w:t>Recorrer las cuatro coberturas y aclarar que sus cantidades no se suman.</w:t>
      </w:r>
    </w:p>
    <w:p w14:paraId="023CFAF5" w14:textId="77777777" w:rsidR="00991236" w:rsidRDefault="00194584">
      <w:r>
        <w:rPr>
          <w:b/>
        </w:rPr>
        <w:t xml:space="preserve">Para decir: </w:t>
      </w:r>
      <w:r>
        <w:t>Trabajamos con once tablas oficiales del INE y una revisión complementaria de DINATRAN. Las fuentes contienen información diferente y cubren distintos conjuntos de registros.</w:t>
      </w:r>
    </w:p>
    <w:p w14:paraId="787448EA" w14:textId="77777777" w:rsidR="00991236" w:rsidRDefault="00194584">
      <w:r>
        <w:t>La fuente nacional tiene 5.493 víctimas y relaciona sexo, edad y gravedad. La territorial registra 1.491 víctimas. La vehicular contiene 1.324. También describimos 1.942 siniestros, que son hechos y no personas.</w:t>
      </w:r>
    </w:p>
    <w:p w14:paraId="201E36E4" w14:textId="77777777" w:rsidR="00991236" w:rsidRDefault="00194584">
      <w:r>
        <w:t>Por eso, no sumamos esas cantidades ni unimos las tablas por posición de fila. Un mismo accidente puede tener varias víctimas y no contamos con identificadores para enlazarlas. Mantener las coberturas separadas evita inventar relaciones entre registros.</w:t>
      </w:r>
    </w:p>
    <w:p w14:paraId="422C9960" w14:textId="77777777" w:rsidR="00991236" w:rsidRDefault="00194584">
      <w:pPr>
        <w:pStyle w:val="Ttulo1"/>
        <w:pageBreakBefore/>
        <w:spacing w:before="0"/>
      </w:pPr>
      <w:r>
        <w:lastRenderedPageBreak/>
        <w:t>Persona 1 continuación</w:t>
      </w:r>
    </w:p>
    <w:p w14:paraId="4404DBD4" w14:textId="77777777" w:rsidR="00991236" w:rsidRDefault="00194584">
      <w:pPr>
        <w:pStyle w:val="Ttulo2"/>
      </w:pPr>
      <w:r>
        <w:t>Diapositiva 4  Limpieza y correcciones de los datos</w:t>
      </w:r>
    </w:p>
    <w:p w14:paraId="097239B2" w14:textId="77777777" w:rsidR="00991236" w:rsidRDefault="00194584">
      <w:pPr>
        <w:keepNext/>
        <w:spacing w:after="80"/>
      </w:pPr>
      <w:r>
        <w:rPr>
          <w:b/>
        </w:rPr>
        <w:t xml:space="preserve">Tiempo orientativo: </w:t>
      </w:r>
      <w:r>
        <w:rPr>
          <w:sz w:val="21"/>
        </w:rPr>
        <w:t>55 segundos</w:t>
      </w:r>
    </w:p>
    <w:p w14:paraId="7E1C27CB" w14:textId="77777777" w:rsidR="00991236" w:rsidRDefault="00194584">
      <w:pPr>
        <w:keepNext/>
        <w:spacing w:after="140"/>
      </w:pPr>
      <w:r>
        <w:rPr>
          <w:b/>
          <w:color w:val="633D10"/>
        </w:rPr>
        <w:t xml:space="preserve">Qué señalar: </w:t>
      </w:r>
      <w:r>
        <w:rPr>
          <w:color w:val="633D10"/>
          <w:sz w:val="21"/>
        </w:rPr>
        <w:t>Mostrar los tres pasos, los 16 perfiles y las 353 edades ignoradas.</w:t>
      </w:r>
    </w:p>
    <w:p w14:paraId="192F978D" w14:textId="77777777" w:rsidR="00991236" w:rsidRDefault="00194584">
      <w:r>
        <w:rPr>
          <w:b/>
        </w:rPr>
        <w:t xml:space="preserve">Para decir: </w:t>
      </w:r>
      <w:r>
        <w:t>Normalizamos los formatos numéricos y las categorías, revisamos duplicados y comprobamos que los desgloses coincidieran con sus totales.</w:t>
      </w:r>
    </w:p>
    <w:p w14:paraId="51D5B8FD" w14:textId="77777777" w:rsidR="00991236" w:rsidRDefault="00194584">
      <w:r>
        <w:t>Después expandimos las frecuencias de sexo, edad y gravedad. Esto significa repetir un perfil tantas veces como indica su cantidad. Obtuvimos 5.493 filas, pero siguen existiendo solamente dieciséis perfiles de sexo y edad. No son historias individuales nuevas.</w:t>
      </w:r>
    </w:p>
    <w:p w14:paraId="0F26A7AB" w14:textId="77777777" w:rsidR="00991236" w:rsidRDefault="00194584">
      <w:r>
        <w:t>También corregimos las 353 edades ignoradas. Permanecen como categoría en el modelo, pero se excluyen de los contrastes que necesitan conocer la edad o su orden. No las tratamos como menores de cero ni como menores de sesenta.</w:t>
      </w:r>
    </w:p>
    <w:p w14:paraId="58FAF1DC" w14:textId="77777777" w:rsidR="00991236" w:rsidRDefault="00194584">
      <w:pPr>
        <w:pStyle w:val="Ttulo2"/>
      </w:pPr>
      <w:r>
        <w:t>Diapositiva 5  Distribución de los siniestros</w:t>
      </w:r>
    </w:p>
    <w:p w14:paraId="2E1D5B3E" w14:textId="77777777" w:rsidR="00991236" w:rsidRDefault="00194584">
      <w:pPr>
        <w:keepNext/>
        <w:spacing w:after="80"/>
      </w:pPr>
      <w:r>
        <w:rPr>
          <w:b/>
        </w:rPr>
        <w:t xml:space="preserve">Tiempo orientativo: </w:t>
      </w:r>
      <w:r>
        <w:rPr>
          <w:sz w:val="21"/>
        </w:rPr>
        <w:t>90 segundos</w:t>
      </w:r>
    </w:p>
    <w:p w14:paraId="37421697" w14:textId="77777777" w:rsidR="00991236" w:rsidRDefault="00194584">
      <w:pPr>
        <w:keepNext/>
        <w:spacing w:after="140"/>
      </w:pPr>
      <w:r>
        <w:rPr>
          <w:b/>
          <w:color w:val="633D10"/>
        </w:rPr>
        <w:t xml:space="preserve">Qué señalar: </w:t>
      </w:r>
      <w:r>
        <w:rPr>
          <w:color w:val="633D10"/>
          <w:sz w:val="21"/>
        </w:rPr>
        <w:t>Señalar marzo, octubre y la barra más oscura de PY02.</w:t>
      </w:r>
    </w:p>
    <w:p w14:paraId="7D697A1D" w14:textId="77777777" w:rsidR="00991236" w:rsidRDefault="00194584">
      <w:r>
        <w:rPr>
          <w:b/>
        </w:rPr>
        <w:t xml:space="preserve">Para decir: </w:t>
      </w:r>
      <w:r>
        <w:t>En la Fase 1 describimos cuándo y dónde se concentran los registros. En esta cobertura hubo 1.942 siniestros durante 2021. Marzo presentó el menor conteo, con 124, y octubre el mayor, con 201.</w:t>
      </w:r>
    </w:p>
    <w:p w14:paraId="527EB3E1" w14:textId="77777777" w:rsidR="00991236" w:rsidRDefault="00194584">
      <w:r>
        <w:t>En la segunda mitad del año los registros son más altos. Sin embargo, observar un solo año no permite demostrar estacionalidad ni atribuir el aumento a una causa específica.</w:t>
      </w:r>
    </w:p>
    <w:p w14:paraId="61C796A1" w14:textId="77777777" w:rsidR="00991236" w:rsidRDefault="00194584">
      <w:r>
        <w:t>Por rutas, la PY02 concentró 711 siniestros, por encima de la PY01 y la PY06. Esto muestra dónde se registraron más hechos. Para afirmar que una ruta tiene mayor riesgo necesitaríamos información sobre cuántos vehículos circulan y cuántos kilómetros recorren.</w:t>
      </w:r>
    </w:p>
    <w:p w14:paraId="40EA7ACD" w14:textId="77777777" w:rsidR="00991236" w:rsidRDefault="00194584">
      <w:r>
        <w:t>Hasta aquí vimos las fuentes, su preparación y la distribución de los hechos. Ahora la Persona 2 continuará con las diferencias de gravedad entre grupos y las pruebas estadísticas.</w:t>
      </w:r>
    </w:p>
    <w:p w14:paraId="7E75DBEB" w14:textId="77777777" w:rsidR="00991236" w:rsidRDefault="00194584">
      <w:r>
        <w:rPr>
          <w:b/>
        </w:rPr>
        <w:t xml:space="preserve">Recordatorio para esta parte: </w:t>
      </w:r>
      <w:r>
        <w:rPr>
          <w:sz w:val="21"/>
        </w:rPr>
        <w:t>No afirmar que las 5.493 filas son historias individuales nuevas, que los distintos universos se pueden sumar o que la ruta con más registros necesariamente tiene mayor riesgo.</w:t>
      </w:r>
    </w:p>
    <w:p w14:paraId="0A82B139" w14:textId="77777777" w:rsidR="00991236" w:rsidRDefault="00194584">
      <w:pPr>
        <w:pStyle w:val="Ttulo1"/>
        <w:pageBreakBefore/>
        <w:spacing w:before="0"/>
      </w:pPr>
      <w:r>
        <w:lastRenderedPageBreak/>
        <w:t>Persona 2</w:t>
      </w:r>
    </w:p>
    <w:p w14:paraId="52D58C15" w14:textId="77777777" w:rsidR="00991236" w:rsidRDefault="00194584">
      <w:r>
        <w:rPr>
          <w:sz w:val="22"/>
        </w:rPr>
        <w:t>Diapositivas 6 a 10. Duración total sugerida: 5 minutos.</w:t>
      </w:r>
    </w:p>
    <w:p w14:paraId="656BDA31" w14:textId="77777777" w:rsidR="00991236" w:rsidRDefault="00194584">
      <w:pPr>
        <w:pStyle w:val="Ttulo2"/>
      </w:pPr>
      <w:r>
        <w:t>Diapositiva 6  Gravedad según sexo y edad</w:t>
      </w:r>
    </w:p>
    <w:p w14:paraId="759E7E76" w14:textId="77777777" w:rsidR="00991236" w:rsidRDefault="00194584">
      <w:pPr>
        <w:keepNext/>
        <w:spacing w:after="80"/>
      </w:pPr>
      <w:r>
        <w:rPr>
          <w:b/>
        </w:rPr>
        <w:t xml:space="preserve">Tiempo orientativo: </w:t>
      </w:r>
      <w:r>
        <w:rPr>
          <w:sz w:val="21"/>
        </w:rPr>
        <w:t>60 segundos</w:t>
      </w:r>
    </w:p>
    <w:p w14:paraId="5C666DF3" w14:textId="77777777" w:rsidR="00991236" w:rsidRDefault="00194584">
      <w:pPr>
        <w:keepNext/>
        <w:spacing w:after="140"/>
      </w:pPr>
      <w:r>
        <w:rPr>
          <w:b/>
          <w:color w:val="633D10"/>
        </w:rPr>
        <w:t xml:space="preserve">Qué señalar: </w:t>
      </w:r>
      <w:r>
        <w:rPr>
          <w:color w:val="633D10"/>
          <w:sz w:val="21"/>
        </w:rPr>
        <w:t>Comparar sexo a la izquierda y los grupos de edad a la derecha.</w:t>
      </w:r>
    </w:p>
    <w:p w14:paraId="6094F17F" w14:textId="77777777" w:rsidR="00991236" w:rsidRDefault="00194584">
      <w:r>
        <w:rPr>
          <w:b/>
        </w:rPr>
        <w:t xml:space="preserve">Para decir: </w:t>
      </w:r>
      <w:r>
        <w:t>Ahora comparamos la proporción de fallecidos dentro de cada grupo. Entre los hombres registrados fue del 19,81 por ciento y entre las mujeres del 10,82 por ciento.</w:t>
      </w:r>
    </w:p>
    <w:p w14:paraId="4D017665" w14:textId="77777777" w:rsidR="00991236" w:rsidRDefault="00194584">
      <w:r>
        <w:t>Con edad conocida, los porcentajes van desde el 11,44 por ciento en el grupo de cero a trece años hasta el 34,42 por ciento en el de sesenta o más.</w:t>
      </w:r>
    </w:p>
    <w:p w14:paraId="4C27D1B0" w14:textId="77777777" w:rsidR="00991236" w:rsidRDefault="00194584">
      <w:r>
        <w:t>Estos son patrones descriptivos. El grupo de dieciocho a veintinueve años reúne más víctimas en cantidad, pero eso es distinto de tener una mayor proporción de fallecidos. Por eso calculamos el porcentaje usando el total de cada grupo.</w:t>
      </w:r>
    </w:p>
    <w:p w14:paraId="2EA43457" w14:textId="77777777" w:rsidR="00991236" w:rsidRDefault="00194584">
      <w:pPr>
        <w:pStyle w:val="Ttulo2"/>
      </w:pPr>
      <w:r>
        <w:t>Diapositiva 7  Diferencias territoriales y H1</w:t>
      </w:r>
    </w:p>
    <w:p w14:paraId="6C78BA8E" w14:textId="77777777" w:rsidR="00991236" w:rsidRDefault="00194584">
      <w:pPr>
        <w:keepNext/>
        <w:spacing w:after="80"/>
      </w:pPr>
      <w:r>
        <w:rPr>
          <w:b/>
        </w:rPr>
        <w:t xml:space="preserve">Tiempo orientativo: </w:t>
      </w:r>
      <w:r>
        <w:rPr>
          <w:sz w:val="21"/>
        </w:rPr>
        <w:t>55 segundos</w:t>
      </w:r>
    </w:p>
    <w:p w14:paraId="6E99C854" w14:textId="77777777" w:rsidR="00991236" w:rsidRDefault="00194584">
      <w:pPr>
        <w:keepNext/>
        <w:spacing w:after="140"/>
      </w:pPr>
      <w:r>
        <w:rPr>
          <w:b/>
          <w:color w:val="633D10"/>
        </w:rPr>
        <w:t xml:space="preserve">Qué señalar: </w:t>
      </w:r>
      <w:r>
        <w:rPr>
          <w:color w:val="633D10"/>
          <w:sz w:val="21"/>
        </w:rPr>
        <w:t>Señalar Interior, la diferencia de 5,26 puntos y el resultado del modelo territorial.</w:t>
      </w:r>
    </w:p>
    <w:p w14:paraId="1CA72A57" w14:textId="77777777" w:rsidR="00991236" w:rsidRDefault="00194584">
      <w:r>
        <w:rPr>
          <w:b/>
        </w:rPr>
        <w:t xml:space="preserve">Para decir: </w:t>
      </w:r>
      <w:r>
        <w:t>El Interior registra un 22,05 por ciento de fallecidos, frente al 17,23 por ciento de Central y al 15,57 por ciento de Asunción.</w:t>
      </w:r>
    </w:p>
    <w:p w14:paraId="54100DC4" w14:textId="77777777" w:rsidR="00991236" w:rsidRDefault="00194584">
      <w:r>
        <w:t>Para H1 agrupamos Asunción y Central como área Metropolitana. Allí la proporción es del 16,80 por ciento. La diferencia con el Interior es de 5,26 puntos porcentuales.</w:t>
      </w:r>
    </w:p>
    <w:p w14:paraId="06ED00F5" w14:textId="77777777" w:rsidR="00991236" w:rsidRDefault="00194584">
      <w:r>
        <w:t>Después comprobamos si conocer la zona ayudaba a predecir resultados en meses posteriores. El modelo territorial empeoró frente a su referencia en dos de tres cortes. Por lo tanto, encontrar una diferencia geográfica no garantizó una mejora predictiva. Tampoco demuestra sus causas.</w:t>
      </w:r>
    </w:p>
    <w:p w14:paraId="4D4A67EE" w14:textId="77777777" w:rsidR="00991236" w:rsidRDefault="00194584">
      <w:pPr>
        <w:pStyle w:val="Ttulo2"/>
      </w:pPr>
      <w:r>
        <w:t>Diapositiva 8  Motocicleta y demás usuarios</w:t>
      </w:r>
    </w:p>
    <w:p w14:paraId="3A8206C1" w14:textId="77777777" w:rsidR="00991236" w:rsidRDefault="00194584">
      <w:pPr>
        <w:keepNext/>
        <w:spacing w:after="80"/>
      </w:pPr>
      <w:r>
        <w:rPr>
          <w:b/>
        </w:rPr>
        <w:t xml:space="preserve">Tiempo orientativo: </w:t>
      </w:r>
      <w:r>
        <w:rPr>
          <w:sz w:val="21"/>
        </w:rPr>
        <w:t>65 segundos</w:t>
      </w:r>
    </w:p>
    <w:p w14:paraId="2949E62B" w14:textId="77777777" w:rsidR="00991236" w:rsidRDefault="00194584">
      <w:pPr>
        <w:keepNext/>
        <w:spacing w:after="140"/>
      </w:pPr>
      <w:r>
        <w:rPr>
          <w:b/>
          <w:color w:val="633D10"/>
        </w:rPr>
        <w:t xml:space="preserve">Qué señalar: </w:t>
      </w:r>
      <w:r>
        <w:rPr>
          <w:color w:val="633D10"/>
          <w:sz w:val="21"/>
        </w:rPr>
        <w:t>Mostrar 539 = 534 + 5, las dos barras y el intervalo del RR.</w:t>
      </w:r>
    </w:p>
    <w:p w14:paraId="130FC11D" w14:textId="77777777" w:rsidR="00991236" w:rsidRDefault="00194584">
      <w:r>
        <w:rPr>
          <w:b/>
        </w:rPr>
        <w:t xml:space="preserve">Para decir: </w:t>
      </w:r>
      <w:r>
        <w:t>La revisión de DINATRAN permitió precisar H3. Los 539 del grupo original incluyen 534 conductores o acompañantes de motocicleta y cinco pasajeros de motocarro.</w:t>
      </w:r>
    </w:p>
    <w:p w14:paraId="5E701F92" w14:textId="77777777" w:rsidR="00991236" w:rsidRDefault="00194584">
      <w:r>
        <w:t>Para la comparación más precisa excluimos esos cinco, sin agregarlos al resto. Comparamos 534 usuarios de motocicleta con los mismos 785 demás usuarios. Falleció el 28,28 por ciento frente al 14,52 por ciento.</w:t>
      </w:r>
    </w:p>
    <w:p w14:paraId="0E77FA0F" w14:textId="77777777" w:rsidR="00991236" w:rsidRDefault="00194584">
      <w:r>
        <w:t>El RR es aproximadamente 1,95, con intervalo entre 1,57 y 2,42. Es una proporción de fallecidos cercana al doble dentro del registro. El resto incluye peatones y ciclistas. No demuestra causalidad ni permite añadir vehículo al modelo nacional de sexo y edad.</w:t>
      </w:r>
    </w:p>
    <w:p w14:paraId="2BC0D902" w14:textId="77777777" w:rsidR="00991236" w:rsidRDefault="00194584">
      <w:pPr>
        <w:pStyle w:val="Ttulo1"/>
        <w:pageBreakBefore/>
        <w:spacing w:before="0"/>
      </w:pPr>
      <w:r>
        <w:lastRenderedPageBreak/>
        <w:t>Persona 2 continuación</w:t>
      </w:r>
    </w:p>
    <w:p w14:paraId="2051E71D" w14:textId="77777777" w:rsidR="00991236" w:rsidRDefault="00194584">
      <w:pPr>
        <w:pStyle w:val="Ttulo2"/>
      </w:pPr>
      <w:r>
        <w:t>Diapositiva 9  Hipótesis y resultados estadísticos</w:t>
      </w:r>
    </w:p>
    <w:p w14:paraId="011BFEA8" w14:textId="77777777" w:rsidR="00991236" w:rsidRDefault="00194584">
      <w:pPr>
        <w:keepNext/>
        <w:spacing w:after="80"/>
      </w:pPr>
      <w:r>
        <w:rPr>
          <w:b/>
        </w:rPr>
        <w:t xml:space="preserve">Tiempo orientativo: </w:t>
      </w:r>
      <w:r>
        <w:rPr>
          <w:sz w:val="21"/>
        </w:rPr>
        <w:t>65 segundos</w:t>
      </w:r>
    </w:p>
    <w:p w14:paraId="2A053292" w14:textId="77777777" w:rsidR="00991236" w:rsidRDefault="00194584">
      <w:pPr>
        <w:keepNext/>
        <w:spacing w:after="140"/>
      </w:pPr>
      <w:r>
        <w:rPr>
          <w:b/>
          <w:color w:val="633D10"/>
        </w:rPr>
        <w:t xml:space="preserve">Qué señalar: </w:t>
      </w:r>
      <w:r>
        <w:rPr>
          <w:color w:val="633D10"/>
          <w:sz w:val="21"/>
        </w:rPr>
        <w:t>Recorrer H1–H4 y comparar el p ajustado de H1 con el umbral 0,05.</w:t>
      </w:r>
    </w:p>
    <w:p w14:paraId="2471E615" w14:textId="77777777" w:rsidR="00991236" w:rsidRDefault="00194584">
      <w:r>
        <w:rPr>
          <w:b/>
        </w:rPr>
        <w:t xml:space="preserve">Para decir: </w:t>
      </w:r>
      <w:r>
        <w:t>En la Fase 2 elegimos las pruebas según el tipo de datos. Usamos chi-cuadrado para territorio y sexo, Fisher para la comparación vehicular y Mann–Whitney para el orden de los grupos de edad.</w:t>
      </w:r>
    </w:p>
    <w:p w14:paraId="409466D8" w14:textId="77777777" w:rsidR="00991236" w:rsidRDefault="00194584">
      <w:r>
        <w:t>En la revisión actual consideramos seis comparaciones y aplicamos Bonferroni para controlar el problema de analizar varias preguntas. H2, H3 y H4 mantienen evidencia bajo sus supuestos.</w:t>
      </w:r>
    </w:p>
    <w:p w14:paraId="183A38F0" w14:textId="77777777" w:rsidR="00991236" w:rsidRDefault="00194584">
      <w:r>
        <w:t>H1 queda con un p ajustado de 0,0698, por encima de 0,05. No alcanza ese umbral, pero eso no demuestra que las zonas sean iguales. Además, no podemos comprobar si varias víctimas pertenecían al mismo siniestro.</w:t>
      </w:r>
    </w:p>
    <w:p w14:paraId="0CA6FD7F" w14:textId="77777777" w:rsidR="00991236" w:rsidRDefault="00194584">
      <w:pPr>
        <w:pStyle w:val="Ttulo2"/>
      </w:pPr>
      <w:r>
        <w:t>Diapositiva 10  H4 y la comparación de adultos mayores</w:t>
      </w:r>
    </w:p>
    <w:p w14:paraId="7D57AE5A" w14:textId="77777777" w:rsidR="00991236" w:rsidRDefault="00194584">
      <w:pPr>
        <w:keepNext/>
        <w:spacing w:after="80"/>
      </w:pPr>
      <w:r>
        <w:rPr>
          <w:b/>
        </w:rPr>
        <w:t xml:space="preserve">Tiempo orientativo: </w:t>
      </w:r>
      <w:r>
        <w:rPr>
          <w:sz w:val="21"/>
        </w:rPr>
        <w:t>55 segundos</w:t>
      </w:r>
    </w:p>
    <w:p w14:paraId="27C89BE5" w14:textId="77777777" w:rsidR="00991236" w:rsidRDefault="00194584">
      <w:pPr>
        <w:keepNext/>
        <w:spacing w:after="140"/>
      </w:pPr>
      <w:r>
        <w:rPr>
          <w:b/>
          <w:color w:val="633D10"/>
        </w:rPr>
        <w:t xml:space="preserve">Qué señalar: </w:t>
      </w:r>
      <w:r>
        <w:rPr>
          <w:color w:val="633D10"/>
          <w:sz w:val="21"/>
        </w:rPr>
        <w:t>Comparar edades y distinguir el RR de adultos mayores de Mann–Whitney.</w:t>
      </w:r>
    </w:p>
    <w:p w14:paraId="56117AEE" w14:textId="77777777" w:rsidR="00991236" w:rsidRDefault="00194584">
      <w:r>
        <w:rPr>
          <w:b/>
        </w:rPr>
        <w:t xml:space="preserve">Para decir: </w:t>
      </w:r>
      <w:r>
        <w:t>Corregimos la edad ignorada para que no quedara ubicada por debajo de la niñez. Con las edades conocidas, Mann–Whitney muestra que los fallecidos tienden a estar en grupos mayores, aunque el efecto es pequeño.</w:t>
      </w:r>
    </w:p>
    <w:p w14:paraId="77A5D506" w14:textId="77777777" w:rsidR="00991236" w:rsidRDefault="00194584">
      <w:r>
        <w:t>La comparación específica de sesenta años o más frente a menores muestra un 34,42 por ciento de fallecidos frente a un 16,83 por ciento. El RR de 2,05 indica una proporción aproximadamente doble entre las víctimas registradas.</w:t>
      </w:r>
    </w:p>
    <w:p w14:paraId="2FEA3BD8" w14:textId="77777777" w:rsidR="00991236" w:rsidRDefault="00194584">
      <w:r>
        <w:t>Esto no demuestra que la edad cause el desenlace. Ahora la Persona 3 explicará qué pudieron predecir los modelos y cuáles fueron sus limitaciones.</w:t>
      </w:r>
    </w:p>
    <w:p w14:paraId="4806A044" w14:textId="77777777" w:rsidR="00991236" w:rsidRDefault="00194584">
      <w:r>
        <w:rPr>
          <w:b/>
        </w:rPr>
        <w:t xml:space="preserve">Recordatorio para esta parte: </w:t>
      </w:r>
      <w:r>
        <w:rPr>
          <w:sz w:val="21"/>
        </w:rPr>
        <w:t>En H3, el gráfico compara 534 con los mismos 785. Los cinco de motocarro quedan fuera del análisis preciso. En H4, “Ignorado” se conserva para predecir, pero queda fuera de los contrastes de edad.</w:t>
      </w:r>
    </w:p>
    <w:p w14:paraId="413F1F87" w14:textId="77777777" w:rsidR="00991236" w:rsidRDefault="00194584">
      <w:pPr>
        <w:pStyle w:val="Ttulo1"/>
        <w:pageBreakBefore/>
        <w:spacing w:before="0"/>
      </w:pPr>
      <w:r>
        <w:lastRenderedPageBreak/>
        <w:t>Persona 3</w:t>
      </w:r>
    </w:p>
    <w:p w14:paraId="2DA95B2E" w14:textId="77777777" w:rsidR="00991236" w:rsidRDefault="00194584">
      <w:r>
        <w:rPr>
          <w:sz w:val="22"/>
        </w:rPr>
        <w:t>Diapositivas 11 a 15. Duración total sugerida: 5 minutos.</w:t>
      </w:r>
    </w:p>
    <w:p w14:paraId="551BC515" w14:textId="77777777" w:rsidR="00991236" w:rsidRDefault="00194584">
      <w:pPr>
        <w:pStyle w:val="Ttulo2"/>
      </w:pPr>
      <w:r>
        <w:t>Diapositiva 11  Diseño del Modelo A</w:t>
      </w:r>
    </w:p>
    <w:p w14:paraId="25649A83" w14:textId="77777777" w:rsidR="00991236" w:rsidRDefault="00194584">
      <w:pPr>
        <w:keepNext/>
        <w:spacing w:after="80"/>
      </w:pPr>
      <w:r>
        <w:rPr>
          <w:b/>
        </w:rPr>
        <w:t xml:space="preserve">Tiempo orientativo: </w:t>
      </w:r>
      <w:r>
        <w:rPr>
          <w:sz w:val="21"/>
        </w:rPr>
        <w:t>55 segundos</w:t>
      </w:r>
    </w:p>
    <w:p w14:paraId="1F884BF0" w14:textId="77777777" w:rsidR="00991236" w:rsidRDefault="00194584">
      <w:pPr>
        <w:keepNext/>
        <w:spacing w:after="140"/>
      </w:pPr>
      <w:r>
        <w:rPr>
          <w:b/>
          <w:color w:val="633D10"/>
        </w:rPr>
        <w:t xml:space="preserve">Qué señalar: </w:t>
      </w:r>
      <w:r>
        <w:rPr>
          <w:color w:val="633D10"/>
          <w:sz w:val="21"/>
        </w:rPr>
        <w:t>Mostrar la partición y los cuatro algoritmos. Árbol y bosque comparten familia.</w:t>
      </w:r>
    </w:p>
    <w:p w14:paraId="4AD60071" w14:textId="77777777" w:rsidR="00991236" w:rsidRDefault="00194584">
      <w:r>
        <w:rPr>
          <w:b/>
        </w:rPr>
        <w:t xml:space="preserve">Para decir: </w:t>
      </w:r>
      <w:r>
        <w:t>El Modelo A clasifica a las víctimas como heridas o fallecidas usando únicamente sexo y grupo de edad. Reservamos el ochenta por ciento para entrenamiento y el veinte por ciento para prueba, con semilla 42.</w:t>
      </w:r>
    </w:p>
    <w:p w14:paraId="0EDBC91E" w14:textId="77777777" w:rsidR="00991236" w:rsidRDefault="00194584">
      <w:r>
        <w:t>Comparamos logística, árbol, Random Forest y Bayes categórico. Son cuatro algoritmos de tres familias, porque árbol y bosque pertenecen a la misma familia. La referencia Dummy siempre predice Herido.</w:t>
      </w:r>
    </w:p>
    <w:p w14:paraId="20BF441D" w14:textId="77777777" w:rsidR="00991236" w:rsidRDefault="00194584">
      <w:r>
        <w:t>Elegimos los parámetros con cinco pliegues dentro de entrenamiento y usando F1 macro. La prueba ya había sido consultada en versiones anteriores, por lo que esta es una evaluación histórica interna, no una validación externa.</w:t>
      </w:r>
    </w:p>
    <w:p w14:paraId="64A4D98F" w14:textId="77777777" w:rsidR="00991236" w:rsidRDefault="00194584">
      <w:pPr>
        <w:pStyle w:val="Ttulo2"/>
      </w:pPr>
      <w:r>
        <w:t>Diapositiva 12  Comparación y selección de modelos</w:t>
      </w:r>
    </w:p>
    <w:p w14:paraId="233B38AA" w14:textId="77777777" w:rsidR="00991236" w:rsidRDefault="00194584">
      <w:pPr>
        <w:keepNext/>
        <w:spacing w:after="80"/>
      </w:pPr>
      <w:r>
        <w:rPr>
          <w:b/>
        </w:rPr>
        <w:t xml:space="preserve">Tiempo orientativo: </w:t>
      </w:r>
      <w:r>
        <w:rPr>
          <w:sz w:val="21"/>
        </w:rPr>
        <w:t>70 segundos</w:t>
      </w:r>
    </w:p>
    <w:p w14:paraId="31F992F2" w14:textId="77777777" w:rsidR="00991236" w:rsidRDefault="00194584">
      <w:pPr>
        <w:keepNext/>
        <w:spacing w:after="140"/>
      </w:pPr>
      <w:r>
        <w:rPr>
          <w:b/>
          <w:color w:val="633D10"/>
        </w:rPr>
        <w:t xml:space="preserve">Qué señalar: </w:t>
      </w:r>
      <w:r>
        <w:rPr>
          <w:color w:val="633D10"/>
          <w:sz w:val="21"/>
        </w:rPr>
        <w:t>Señalar la barra más oscura del árbol y las dos métricas de prueba.</w:t>
      </w:r>
    </w:p>
    <w:p w14:paraId="4E8728CD" w14:textId="77777777" w:rsidR="00991236" w:rsidRDefault="00194584">
      <w:r>
        <w:rPr>
          <w:b/>
        </w:rPr>
        <w:t xml:space="preserve">Para decir: </w:t>
      </w:r>
      <w:r>
        <w:t>Elegimos el Árbol de Decisión porque obtuvo el mayor F1 macro en validación cruzada, con 0,5416. En prueba alcanzó 0,5299. El F1 macro da el mismo peso al rendimiento de Herido y Fallecido.</w:t>
      </w:r>
    </w:p>
    <w:p w14:paraId="323526FA" w14:textId="77777777" w:rsidR="00991236" w:rsidRDefault="00194584">
      <w:r>
        <w:t>Su AUC fue de 0,5809. Como 0,5 representa una referencia sin discriminación, el resultado muestra poca capacidad para distinguir los desenlaces. No cambiamos el ganador por otra métrica del conjunto de prueba.</w:t>
      </w:r>
    </w:p>
    <w:p w14:paraId="3C250AE1" w14:textId="77777777" w:rsidR="00991236" w:rsidRDefault="00194584">
      <w:r>
        <w:t>Dummy logra una exactitud mayor al predecir siempre Herido, pero no detecta ningún fallecido. Por eso, una sola métrica podría hacer parecer útil a un modelo que no reconoce la clase que nos interesa.</w:t>
      </w:r>
    </w:p>
    <w:p w14:paraId="741F2D35" w14:textId="77777777" w:rsidR="00991236" w:rsidRDefault="00194584">
      <w:pPr>
        <w:pStyle w:val="Ttulo1"/>
        <w:pageBreakBefore/>
        <w:spacing w:before="0"/>
      </w:pPr>
      <w:r>
        <w:lastRenderedPageBreak/>
        <w:t>Persona 3 continuación</w:t>
      </w:r>
    </w:p>
    <w:p w14:paraId="6B16316E" w14:textId="77777777" w:rsidR="00991236" w:rsidRDefault="00194584">
      <w:pPr>
        <w:pStyle w:val="Ttulo2"/>
      </w:pPr>
      <w:r>
        <w:t>Diapositiva 13  Aciertos y errores del árbol</w:t>
      </w:r>
    </w:p>
    <w:p w14:paraId="4D732772" w14:textId="77777777" w:rsidR="00991236" w:rsidRDefault="00194584">
      <w:pPr>
        <w:keepNext/>
        <w:spacing w:after="80"/>
      </w:pPr>
      <w:r>
        <w:rPr>
          <w:b/>
        </w:rPr>
        <w:t xml:space="preserve">Tiempo orientativo: </w:t>
      </w:r>
      <w:r>
        <w:rPr>
          <w:sz w:val="21"/>
        </w:rPr>
        <w:t>65 segundos</w:t>
      </w:r>
    </w:p>
    <w:p w14:paraId="55BD1C33" w14:textId="77777777" w:rsidR="00991236" w:rsidRDefault="00194584">
      <w:pPr>
        <w:keepNext/>
        <w:spacing w:after="140"/>
      </w:pPr>
      <w:r>
        <w:rPr>
          <w:b/>
          <w:color w:val="633D10"/>
        </w:rPr>
        <w:t xml:space="preserve">Qué señalar: </w:t>
      </w:r>
      <w:r>
        <w:rPr>
          <w:color w:val="633D10"/>
          <w:sz w:val="21"/>
        </w:rPr>
        <w:t>Leer la matriz por filas y localizar los 107 fallecidos no detectados.</w:t>
      </w:r>
    </w:p>
    <w:p w14:paraId="52EFBDEC" w14:textId="77777777" w:rsidR="00991236" w:rsidRDefault="00194584">
      <w:r>
        <w:rPr>
          <w:b/>
        </w:rPr>
        <w:t xml:space="preserve">Para decir: </w:t>
      </w:r>
      <w:r>
        <w:t>La matriz cruza el desenlace real con la predicción. El árbol acertó 609 heridos y 89 fallecidos. Clasificó a 294 heridos como fallecidos y omitió a 107 fallecidos al considerarlos heridos.</w:t>
      </w:r>
    </w:p>
    <w:p w14:paraId="5255E811" w14:textId="77777777" w:rsidR="00991236" w:rsidRDefault="00194584">
      <w:r>
        <w:t>Detectó 89 de los 196 fallecidos: el 45,41 por ciento. Solo el 23,24 por ciento de sus predicciones de Fallecido fueron correctas. La exactitud total fue del 63,51 por ciento.</w:t>
      </w:r>
    </w:p>
    <w:p w14:paraId="44B4AC24" w14:textId="77777777" w:rsidR="00991236" w:rsidRDefault="00194584">
      <w:r>
        <w:t>Las omisiones afectaron a todas las mujeres fallecidas y a todos los fallecidos menores de treinta años de esta prueba. Quince casos pertenecen a ambos grupos y no se cuentan dos veces. Estas fallas impiden recomendar una aplicación individual o clínica.</w:t>
      </w:r>
    </w:p>
    <w:p w14:paraId="623CC45B" w14:textId="77777777" w:rsidR="00991236" w:rsidRDefault="00194584">
      <w:pPr>
        <w:pStyle w:val="Ttulo2"/>
      </w:pPr>
      <w:r>
        <w:t>Diapositiva 14  Generalización e importancia de variables</w:t>
      </w:r>
    </w:p>
    <w:p w14:paraId="5045CABF" w14:textId="77777777" w:rsidR="00991236" w:rsidRDefault="00194584">
      <w:pPr>
        <w:keepNext/>
        <w:spacing w:after="80"/>
      </w:pPr>
      <w:r>
        <w:rPr>
          <w:b/>
        </w:rPr>
        <w:t xml:space="preserve">Tiempo orientativo: </w:t>
      </w:r>
      <w:r>
        <w:rPr>
          <w:sz w:val="21"/>
        </w:rPr>
        <w:t>70 segundos</w:t>
      </w:r>
    </w:p>
    <w:p w14:paraId="207FEC9D" w14:textId="77777777" w:rsidR="00991236" w:rsidRDefault="00194584">
      <w:pPr>
        <w:keepNext/>
        <w:spacing w:after="140"/>
      </w:pPr>
      <w:r>
        <w:rPr>
          <w:b/>
          <w:color w:val="633D10"/>
        </w:rPr>
        <w:t xml:space="preserve">Qué señalar: </w:t>
      </w:r>
      <w:r>
        <w:rPr>
          <w:color w:val="633D10"/>
          <w:sz w:val="21"/>
        </w:rPr>
        <w:t>Comparar las evaluaciones y mostrar la mayor caída al mezclar edad.</w:t>
      </w:r>
    </w:p>
    <w:p w14:paraId="66A4F3BD" w14:textId="77777777" w:rsidR="00991236" w:rsidRDefault="00194584">
      <w:r>
        <w:rPr>
          <w:b/>
        </w:rPr>
        <w:t xml:space="preserve">Para decir: </w:t>
      </w:r>
      <w:r>
        <w:t>Las diferencias entre entrenamiento, validación y prueba son pequeñas, pero los mismos perfiles de sexo y edad pueden repetirse. Al separar perfiles completos, el F1 cae a aproximadamente 0,456. Es una sensibilidad dentro de entrenamiento, no una validación externa.</w:t>
      </w:r>
    </w:p>
    <w:p w14:paraId="6127760C" w14:textId="77777777" w:rsidR="00991236" w:rsidRDefault="00194584">
      <w:r>
        <w:t>También mezclamos cada variable para ver cuánto empeora el modelo. Mezclar edad produce una caída mayor que mezclar sexo, por lo que edad aporta algo más de información predictiva.</w:t>
      </w:r>
    </w:p>
    <w:p w14:paraId="41E882C6" w14:textId="77777777" w:rsidR="00991236" w:rsidRDefault="00194584">
      <w:r>
        <w:t>Los puntajes tampoco están calibrados. Su promedio fue de 0,4902 frente a una fracción real de fallecidos de 0,1783. No deben interpretarse como probabilidades individuales confiables. Necesitamos datos más completos y una evaluación independiente.</w:t>
      </w:r>
    </w:p>
    <w:p w14:paraId="0FEDCCA9" w14:textId="77777777" w:rsidR="00991236" w:rsidRDefault="00194584">
      <w:pPr>
        <w:pStyle w:val="Ttulo2"/>
      </w:pPr>
      <w:r>
        <w:t>Diapositiva 15  Qué aportaron las tres fases</w:t>
      </w:r>
    </w:p>
    <w:p w14:paraId="30D123FF" w14:textId="77777777" w:rsidR="00991236" w:rsidRDefault="00194584">
      <w:pPr>
        <w:keepNext/>
        <w:spacing w:after="80"/>
      </w:pPr>
      <w:r>
        <w:rPr>
          <w:b/>
        </w:rPr>
        <w:t xml:space="preserve">Tiempo orientativo: </w:t>
      </w:r>
      <w:r>
        <w:rPr>
          <w:sz w:val="21"/>
        </w:rPr>
        <w:t>40 segundos</w:t>
      </w:r>
    </w:p>
    <w:p w14:paraId="625EB4BE" w14:textId="77777777" w:rsidR="00991236" w:rsidRDefault="00194584">
      <w:pPr>
        <w:keepNext/>
        <w:spacing w:after="140"/>
      </w:pPr>
      <w:r>
        <w:rPr>
          <w:b/>
          <w:color w:val="633D10"/>
        </w:rPr>
        <w:t xml:space="preserve">Qué señalar: </w:t>
      </w:r>
      <w:r>
        <w:rPr>
          <w:color w:val="633D10"/>
          <w:sz w:val="21"/>
        </w:rPr>
        <w:t>Recorrer el aporte de cada fase y cerrar con la respuesta parcial.</w:t>
      </w:r>
    </w:p>
    <w:p w14:paraId="6648C552" w14:textId="77777777" w:rsidR="00991236" w:rsidRDefault="00194584">
      <w:r>
        <w:rPr>
          <w:b/>
        </w:rPr>
        <w:t xml:space="preserve">Para decir: </w:t>
      </w:r>
      <w:r>
        <w:t>Las tres fases se complementan: describimos diferencias, contrastamos asociaciones y evaluamos la predicción. El RR de motocicleta fue 1,95 y el de sesenta años o más, 2,05.</w:t>
      </w:r>
    </w:p>
    <w:p w14:paraId="10C6D500" w14:textId="77777777" w:rsidR="00991236" w:rsidRDefault="00194584">
      <w:r>
        <w:t>La respuesta es parcial. El Modelo A tiene capacidad limitada, con AUC de 0,5809. Las fuentes no vinculan todos los factores por víctima. Las asociaciones no demuestran causalidad. Necesitamos vincular víctimas y siniestros y validar con otro año.</w:t>
      </w:r>
    </w:p>
    <w:p w14:paraId="36E61E4B" w14:textId="77777777" w:rsidR="00991236" w:rsidRDefault="00194584">
      <w:r>
        <w:t>Muchas gracias. Quedamos atentos a sus preguntas.</w:t>
      </w:r>
    </w:p>
    <w:p w14:paraId="3524ED0D" w14:textId="77777777" w:rsidR="00991236" w:rsidRDefault="00194584">
      <w:pPr>
        <w:pStyle w:val="Ttulo1"/>
        <w:pageBreakBefore/>
        <w:spacing w:before="0"/>
      </w:pPr>
      <w:r>
        <w:lastRenderedPageBreak/>
        <w:t>Apoyo para preguntas sobre datos e hipótesis</w:t>
      </w:r>
    </w:p>
    <w:p w14:paraId="64A6E256" w14:textId="77777777" w:rsidR="00991236" w:rsidRDefault="00194584">
      <w:r>
        <w:rPr>
          <w:sz w:val="22"/>
        </w:rPr>
        <w:t>Esta parte sirve para estudiar. No se lee durante los 15 minutos de exposición.</w:t>
      </w:r>
    </w:p>
    <w:p w14:paraId="7145FC8B" w14:textId="77777777" w:rsidR="00991236" w:rsidRDefault="00194584">
      <w:pPr>
        <w:pStyle w:val="Ttulo2"/>
      </w:pPr>
      <w:r>
        <w:t>Por qué no unieron sexo, edad, zona y vehículo</w:t>
      </w:r>
    </w:p>
    <w:p w14:paraId="24F651A4" w14:textId="77777777" w:rsidR="00991236" w:rsidRDefault="00194584">
      <w:r>
        <w:rPr>
          <w:sz w:val="23"/>
        </w:rPr>
        <w:t>Porque esas variables no están vinculadas por víctima en una misma tabla. Unir las filas por su posición inventaría relaciones. El Modelo A usa solo sexo y grupo de edad; territorio y vehículo se analizan por separado.</w:t>
      </w:r>
    </w:p>
    <w:p w14:paraId="18A6BED9" w14:textId="77777777" w:rsidR="00991236" w:rsidRDefault="00194584">
      <w:pPr>
        <w:pStyle w:val="Ttulo2"/>
      </w:pPr>
      <w:r>
        <w:t>Las 5.493 filas son datos individuales originales</w:t>
      </w:r>
    </w:p>
    <w:p w14:paraId="4FF43C22" w14:textId="77777777" w:rsidR="00991236" w:rsidRDefault="00194584">
      <w:r>
        <w:rPr>
          <w:sz w:val="23"/>
        </w:rPr>
        <w:t>No. Reconstruyen frecuencias de una tabla oficial. Hay dieciséis perfiles de sexo y edad repetidos según sus conteos. La expansión facilita el modelado, pero no añade información individual ni verifica independencia por siniestro.</w:t>
      </w:r>
    </w:p>
    <w:p w14:paraId="67B3D21F" w14:textId="77777777" w:rsidR="00991236" w:rsidRDefault="00194584">
      <w:pPr>
        <w:pStyle w:val="Ttulo2"/>
      </w:pPr>
      <w:r>
        <w:t>H3 cambió frente a Fase 2</w:t>
      </w:r>
    </w:p>
    <w:p w14:paraId="7890CD12" w14:textId="77777777" w:rsidR="00991236" w:rsidRDefault="00194584">
      <w:r>
        <w:rPr>
          <w:sz w:val="23"/>
        </w:rPr>
        <w:t>La nueva fuente fortalece y precisa su interpretación. DINATRAN identifica 534 usuarios de motocicleta y cinco de motocarro. La comparación histórica de 539 frente a 785 conserva RR 1,9802 y OR 2,3758; sin motocarro, RR es 1,9472 y OR 2,3206.</w:t>
      </w:r>
    </w:p>
    <w:p w14:paraId="66181543" w14:textId="77777777" w:rsidR="00991236" w:rsidRDefault="00194584">
      <w:pPr>
        <w:pStyle w:val="Ttulo2"/>
      </w:pPr>
      <w:r>
        <w:t>Por qué no compararon 534 con 790</w:t>
      </w:r>
    </w:p>
    <w:p w14:paraId="44F49091" w14:textId="77777777" w:rsidR="00991236" w:rsidRDefault="00194584">
      <w:r>
        <w:rPr>
          <w:sz w:val="23"/>
        </w:rPr>
        <w:t>En la sensibilidad elegida excluimos motocarro de ambos lados, sin transferirlo al resto. Quedan 534 frente a los mismos 785, con 1.319 víctimas. Otra comparación tendría otra definición de grupos y debería identificarse expresamente.</w:t>
      </w:r>
    </w:p>
    <w:p w14:paraId="755AF3B9" w14:textId="77777777" w:rsidR="00991236" w:rsidRDefault="00194584">
      <w:pPr>
        <w:pStyle w:val="Ttulo2"/>
      </w:pPr>
      <w:r>
        <w:t>Qué diferencia hay entre RR y OR</w:t>
      </w:r>
    </w:p>
    <w:p w14:paraId="3D44F35F" w14:textId="77777777" w:rsidR="00991236" w:rsidRDefault="00194584">
      <w:r>
        <w:rPr>
          <w:sz w:val="23"/>
        </w:rPr>
        <w:t>RR divide proporciones de fallecidos entre grupos. OR divide odds: fallecidos respecto de heridos en cada grupo. No son intercambiables. Aquí RR cercano a dos significa aproximadamente doble proporción fatal entre víctimas registradas, no doble riesgo poblacional de accidentarse.</w:t>
      </w:r>
    </w:p>
    <w:p w14:paraId="19396466" w14:textId="77777777" w:rsidR="00991236" w:rsidRDefault="00194584">
      <w:pPr>
        <w:pStyle w:val="Ttulo2"/>
      </w:pPr>
      <w:r>
        <w:t>Por qué H1 antes rechazaba y ahora no</w:t>
      </w:r>
    </w:p>
    <w:p w14:paraId="49CD4B36" w14:textId="77777777" w:rsidR="00991236" w:rsidRDefault="00194584">
      <w:r>
        <w:rPr>
          <w:sz w:val="23"/>
        </w:rPr>
        <w:t>El p crudo es el mismo. Con el ajuste previo de cuatro pruebas era 0,046565; con seis, 0,069847. Al ampliar la familia la exigencia aumenta. No rechazamos al 5 % en la familia actual, sin concluir que las zonas sean iguales.</w:t>
      </w:r>
    </w:p>
    <w:p w14:paraId="63CB2C42" w14:textId="77777777" w:rsidR="00991236" w:rsidRDefault="00194584">
      <w:pPr>
        <w:pStyle w:val="Ttulo1"/>
        <w:pageBreakBefore/>
        <w:spacing w:before="0"/>
      </w:pPr>
      <w:r>
        <w:lastRenderedPageBreak/>
        <w:t>Apoyo para preguntas sobre métodos y modelos</w:t>
      </w:r>
    </w:p>
    <w:p w14:paraId="046DD16C" w14:textId="77777777" w:rsidR="00991236" w:rsidRDefault="00194584">
      <w:r>
        <w:rPr>
          <w:sz w:val="22"/>
        </w:rPr>
        <w:t>Esta parte sirve para estudiar. No se lee durante los 15 minutos de exposición.</w:t>
      </w:r>
    </w:p>
    <w:p w14:paraId="0407CFDD" w14:textId="77777777" w:rsidR="00991236" w:rsidRDefault="00194584">
      <w:pPr>
        <w:pStyle w:val="Ttulo2"/>
      </w:pPr>
      <w:r>
        <w:t>Por qué Mann–Whitney y qué se corrigió en H4</w:t>
      </w:r>
    </w:p>
    <w:p w14:paraId="3ABE0A88" w14:textId="77777777" w:rsidR="00991236" w:rsidRDefault="00194584">
      <w:r>
        <w:rPr>
          <w:sz w:val="23"/>
        </w:rPr>
        <w:t>La edad está en grupos ordenados, no en años exactos. Mann–Whitney compara el orden de las distribuciones. Se corrigió la edad ignorada, que estaba codificada como −1. Se excluyeron 353 desconocidos de los contrastes y se conservaron en el clasificador.</w:t>
      </w:r>
    </w:p>
    <w:p w14:paraId="27A6D48E" w14:textId="77777777" w:rsidR="00991236" w:rsidRDefault="00194584">
      <w:pPr>
        <w:pStyle w:val="Ttulo2"/>
      </w:pPr>
      <w:r>
        <w:t>Qué significa un intervalo de confianza que no incluye uno</w:t>
      </w:r>
    </w:p>
    <w:p w14:paraId="46351A8F" w14:textId="77777777" w:rsidR="00991236" w:rsidRDefault="00194584">
      <w:r>
        <w:rPr>
          <w:sz w:val="23"/>
        </w:rPr>
        <w:t>Para RR u OR, uno es la referencia sin diferencia relativa. Que un IC 95 % no incluya uno aporta evidencia nominal bajo sus supuestos. No demuestra causalidad, no elimina sesgos y no sustituye el ajuste por comparaciones múltiples.</w:t>
      </w:r>
    </w:p>
    <w:p w14:paraId="7E48CB05" w14:textId="77777777" w:rsidR="00991236" w:rsidRDefault="00194584">
      <w:pPr>
        <w:pStyle w:val="Ttulo2"/>
      </w:pPr>
      <w:r>
        <w:t>Por qué usaron F1 macro si Dummy tiene más exactitud</w:t>
      </w:r>
    </w:p>
    <w:p w14:paraId="49A16E4F" w14:textId="77777777" w:rsidR="00991236" w:rsidRDefault="00194584">
      <w:r>
        <w:rPr>
          <w:sz w:val="23"/>
        </w:rPr>
        <w:t>Dummy predice siempre Herido y obtiene muchos aciertos porque esa clase predomina, pero no detecta fallecidos. F1 macro da igual peso al F1 de ambas clases. El árbol se seleccionó por CV, aunque sigue teniendo capacidad limitada.</w:t>
      </w:r>
    </w:p>
    <w:p w14:paraId="5111B154" w14:textId="77777777" w:rsidR="00991236" w:rsidRDefault="00194584">
      <w:pPr>
        <w:pStyle w:val="Ttulo2"/>
      </w:pPr>
      <w:r>
        <w:t>Qué son precisión, recall y AUC</w:t>
      </w:r>
    </w:p>
    <w:p w14:paraId="2ECCBB2F" w14:textId="77777777" w:rsidR="00991236" w:rsidRDefault="00194584">
      <w:r>
        <w:rPr>
          <w:sz w:val="23"/>
        </w:rPr>
        <w:t>Precisión pregunta cuántas predicciones de Fallecido fueron correctas: 23,24 %. Recall pregunta cuántos fallecidos reales se detectaron: 45,41 %. AUC resume la discriminación a diferentes umbrales: 0,5809 en el árbol, cerca de la referencia 0,5.</w:t>
      </w:r>
    </w:p>
    <w:p w14:paraId="7F35C17A" w14:textId="77777777" w:rsidR="00991236" w:rsidRDefault="00194584">
      <w:pPr>
        <w:pStyle w:val="Ttulo2"/>
      </w:pPr>
      <w:r>
        <w:t>Por qué una brecha pequeña no garantiza que generalice</w:t>
      </w:r>
    </w:p>
    <w:p w14:paraId="4C4C697E" w14:textId="77777777" w:rsidR="00991236" w:rsidRDefault="00194584">
      <w:r>
        <w:rPr>
          <w:sz w:val="23"/>
        </w:rPr>
        <w:t>Porque los perfiles se repiten entre las particiones. Al dejar perfiles completos fuera dentro de entrenamiento, el F1 medio cae a 0,4556 y la AUC a 0,5248. Además, el test fue visto históricamente y no hay validación externa.</w:t>
      </w:r>
    </w:p>
    <w:p w14:paraId="2A77F080" w14:textId="77777777" w:rsidR="00991236" w:rsidRDefault="00194584">
      <w:pPr>
        <w:pStyle w:val="Ttulo2"/>
      </w:pPr>
      <w:r>
        <w:t>Qué significa falta de calibración</w:t>
      </w:r>
    </w:p>
    <w:p w14:paraId="56521D4A" w14:textId="77777777" w:rsidR="00991236" w:rsidRDefault="00194584">
      <w:r>
        <w:rPr>
          <w:sz w:val="23"/>
        </w:rPr>
        <w:t>Los puntajes no corresponden bien a las frecuencias observadas. El promedio 0,4902 supera mucho la fracción real de fallecidos de 0,1783. No se debe interpretar la salida como probabilidad individual confiable. Haría falta calibración y evaluación con datos independientes.</w:t>
      </w:r>
    </w:p>
    <w:p w14:paraId="273A81F7" w14:textId="77777777" w:rsidR="00991236" w:rsidRDefault="00194584">
      <w:r>
        <w:rPr>
          <w:b/>
        </w:rPr>
        <w:t xml:space="preserve">Si preguntan sobre IA: </w:t>
      </w:r>
      <w:r>
        <w:rPr>
          <w:sz w:val="21"/>
        </w:rPr>
        <w:t>La IA asistió en revisión, código, explicaciones y materiales. La comprensión y defensa son responsabilidad del grupo. No se inventaron víctimas ni se mejoraron métricas para favorecer hipótesis.</w:t>
      </w:r>
    </w:p>
    <w:p w14:paraId="0A98B1A8" w14:textId="77777777" w:rsidR="00991236" w:rsidRDefault="00194584">
      <w:r>
        <w:rPr>
          <w:b/>
        </w:rPr>
        <w:t xml:space="preserve">Referencias para repasar: </w:t>
      </w:r>
      <w:r>
        <w:rPr>
          <w:sz w:val="20"/>
        </w:rPr>
        <w:t>PPT actual con portada marrón y resultados del notebook Fase3_Accidentes_AUDITADA.ipynb. Fuentes oficiales: INE, Anuario Estadístico 2021, y DINATRAN, Anuario de Transporte 2021, pp.130–136. Las URL completas están en las notas del PPT.</w:t>
      </w:r>
    </w:p>
    <w:sectPr w:rsidR="00991236" w:rsidSect="00034616">
      <w:headerReference w:type="even" r:id="rId8"/>
      <w:headerReference w:type="default" r:id="rId9"/>
      <w:footerReference w:type="even" r:id="rId10"/>
      <w:footerReference w:type="default" r:id="rId11"/>
      <w:headerReference w:type="first" r:id="rId12"/>
      <w:footerReference w:type="first" r:id="rId13"/>
      <w:pgSz w:w="12240" w:h="15840"/>
      <w:pgMar w:top="1020" w:right="1247" w:bottom="1020" w:left="1247"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88E32" w14:textId="77777777" w:rsidR="00194584" w:rsidRDefault="00194584">
      <w:pPr>
        <w:spacing w:after="0" w:line="240" w:lineRule="auto"/>
      </w:pPr>
      <w:r>
        <w:separator/>
      </w:r>
    </w:p>
  </w:endnote>
  <w:endnote w:type="continuationSeparator" w:id="0">
    <w:p w14:paraId="1B5CE232" w14:textId="77777777" w:rsidR="00194584" w:rsidRDefault="00194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34D37" w14:textId="77777777" w:rsidR="00194584" w:rsidRDefault="001945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0A136" w14:textId="77777777" w:rsidR="00991236" w:rsidRDefault="00194584">
    <w:pPr>
      <w:pStyle w:val="Piedepgina"/>
      <w:jc w:val="right"/>
    </w:pPr>
    <w:r>
      <w:rPr>
        <w:sz w:val="18"/>
      </w:rPr>
      <w:t xml:space="preserve">Página </w:t>
    </w:r>
    <w:r>
      <w:fldChar w:fldCharType="begin"/>
    </w:r>
    <w:r>
      <w:instrText>PAGE</w:instrText>
    </w:r>
    <w:r>
      <w:fldChar w:fldCharType="separate"/>
    </w:r>
    <w:r>
      <w:rPr>
        <w:noProof/>
      </w:rPr>
      <w:t>0</w:t>
    </w:r>
    <w:r>
      <w:fldChar w:fldCharType="end"/>
    </w:r>
    <w:r>
      <w:rPr>
        <w:sz w:val="18"/>
      </w:rPr>
      <w:t xml:space="preserve"> de </w:t>
    </w:r>
    <w:r>
      <w:fldChar w:fldCharType="begin"/>
    </w:r>
    <w:r>
      <w:instrText>NUMPAGES</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1059" w14:textId="77777777" w:rsidR="00194584" w:rsidRDefault="001945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9A85" w14:textId="77777777" w:rsidR="00194584" w:rsidRDefault="00194584">
      <w:pPr>
        <w:spacing w:after="0" w:line="240" w:lineRule="auto"/>
      </w:pPr>
      <w:r>
        <w:separator/>
      </w:r>
    </w:p>
  </w:footnote>
  <w:footnote w:type="continuationSeparator" w:id="0">
    <w:p w14:paraId="709140FB" w14:textId="77777777" w:rsidR="00194584" w:rsidRDefault="00194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1BB11" w14:textId="77777777" w:rsidR="00194584" w:rsidRDefault="001945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2DE5C" w14:textId="77777777" w:rsidR="00991236" w:rsidRDefault="00194584">
    <w:r>
      <w:rPr>
        <w:sz w:val="18"/>
      </w:rPr>
      <w:t>Guía de estudio del proyecto de accidentes de tránsito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E523" w14:textId="77777777" w:rsidR="00194584" w:rsidRDefault="001945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2211540">
    <w:abstractNumId w:val="8"/>
  </w:num>
  <w:num w:numId="2" w16cid:durableId="1078288535">
    <w:abstractNumId w:val="6"/>
  </w:num>
  <w:num w:numId="3" w16cid:durableId="1917086515">
    <w:abstractNumId w:val="5"/>
  </w:num>
  <w:num w:numId="4" w16cid:durableId="632323826">
    <w:abstractNumId w:val="4"/>
  </w:num>
  <w:num w:numId="5" w16cid:durableId="82575925">
    <w:abstractNumId w:val="7"/>
  </w:num>
  <w:num w:numId="6" w16cid:durableId="1348754841">
    <w:abstractNumId w:val="3"/>
  </w:num>
  <w:num w:numId="7" w16cid:durableId="1026521353">
    <w:abstractNumId w:val="2"/>
  </w:num>
  <w:num w:numId="8" w16cid:durableId="1387992194">
    <w:abstractNumId w:val="1"/>
  </w:num>
  <w:num w:numId="9" w16cid:durableId="13017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96"/>
    <w:rsid w:val="00034616"/>
    <w:rsid w:val="0006063C"/>
    <w:rsid w:val="0015074B"/>
    <w:rsid w:val="00194584"/>
    <w:rsid w:val="0029639D"/>
    <w:rsid w:val="00326F90"/>
    <w:rsid w:val="00991236"/>
    <w:rsid w:val="00AA1D8D"/>
    <w:rsid w:val="00B47730"/>
    <w:rsid w:val="00C450E1"/>
    <w:rsid w:val="00CB0664"/>
    <w:rsid w:val="00CB2C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7C832"/>
  <w14:defaultImageDpi w14:val="300"/>
  <w15:docId w15:val="{79F49BD6-D320-4A55-B279-E015CDAB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2766</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y exposición del PPT de accidentes de tránsito</dc:title>
  <dc:subject>Guion actualizado de las 15 diapositivas con paleta marrón para tres personas</dc:subject>
  <dc:creator>Alan Alcaraz; Leandro Ferreira; Jorge Rios</dc:creator>
  <cp:keywords/>
  <dc:description>generated by python-docx</dc:description>
  <cp:lastModifiedBy>Leandro Ferreira</cp:lastModifiedBy>
  <cp:revision>3</cp:revision>
  <dcterms:created xsi:type="dcterms:W3CDTF">2013-12-23T23:15:00Z</dcterms:created>
  <dcterms:modified xsi:type="dcterms:W3CDTF">2026-10-28T21:55:00Z</dcterms:modified>
  <cp:category/>
  <dc:language>es-PY</dc:language>
</cp:coreProperties>
</file>