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DCE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u w:val="single"/>
          <w:lang w:val="en-US" w:eastAsia="zh-CN"/>
        </w:rPr>
      </w:pPr>
      <w:r>
        <w:rPr>
          <w:rFonts w:hint="eastAsia"/>
          <w:lang w:val="en-US" w:eastAsia="zh-CN"/>
        </w:rPr>
        <w:t>问题三研究思路</w:t>
      </w:r>
      <w:r>
        <w:rPr>
          <w:rFonts w:hint="eastAsia"/>
          <w:lang w:val="en-US" w:eastAsia="zh-CN"/>
        </w:rPr>
        <w:br w:type="textWrapping"/>
      </w:r>
      <w:r>
        <w:rPr>
          <w:rFonts w:hint="eastAsia" w:ascii="宋体" w:hAnsi="宋体" w:eastAsia="宋体" w:cs="宋体"/>
          <w:b w:val="0"/>
          <w:bCs w:val="0"/>
          <w:kern w:val="2"/>
          <w:sz w:val="24"/>
          <w:szCs w:val="24"/>
          <w:u w:val="single"/>
          <w:lang w:val="en-US" w:eastAsia="zh-CN" w:bidi="ar-SA"/>
        </w:rPr>
        <w:t>问题3：</w:t>
      </w:r>
      <w:r>
        <w:rPr>
          <w:rFonts w:hint="eastAsia" w:ascii="宋体" w:hAnsi="宋体" w:eastAsia="宋体" w:cs="宋体"/>
          <w:sz w:val="24"/>
          <w:szCs w:val="24"/>
          <w:u w:val="single"/>
          <w:lang w:val="en-US" w:eastAsia="zh-CN"/>
        </w:rPr>
        <w:t>如何基于未来发展趋势优化低空经济的资源配置，实现绿色交通长期综合效益最大化</w:t>
      </w:r>
    </w:p>
    <w:p w14:paraId="672BD81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bCs/>
          <w:kern w:val="2"/>
          <w:sz w:val="24"/>
          <w:szCs w:val="24"/>
          <w:u w:val="none"/>
          <w:lang w:val="en-US" w:eastAsia="zh-CN" w:bidi="ar-SA"/>
        </w:rPr>
        <w:t>研究方法：</w:t>
      </w:r>
      <w:r>
        <w:rPr>
          <w:rFonts w:hint="eastAsia" w:ascii="宋体" w:hAnsi="宋体" w:eastAsia="宋体" w:cs="宋体"/>
          <w:sz w:val="24"/>
          <w:szCs w:val="24"/>
          <w:lang w:val="en-US" w:eastAsia="zh-CN"/>
        </w:rPr>
        <w:t>采用融合空间注意力机制的GraphSAGE时空预测模型+改进自适应粒子群优化算法的组合方法。先通过预测模型量化不同投入情景2024-2030年绿色交通发展趋势，再基于预测结果构建多目标资源配置模型，采用改进的自适应粒子群优化算法求解，生成四大区域差异化的最优投入方案。</w:t>
      </w:r>
    </w:p>
    <w:p w14:paraId="5E37881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p>
    <w:p w14:paraId="4D504A6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p>
    <w:p w14:paraId="69C5BDF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lang w:val="en-US" w:eastAsia="zh-CN"/>
        </w:rPr>
        <w:t>第一步构建融合空间注意力机制的GraphSAGE预测模型</w:t>
      </w:r>
    </w:p>
    <w:p w14:paraId="45C0F6A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节点：全国3</w:t>
      </w:r>
      <w:r>
        <w:rPr>
          <w:rFonts w:hint="eastAsia" w:ascii="宋体" w:hAnsi="宋体" w:eastAsia="宋体" w:cs="宋体"/>
          <w:sz w:val="24"/>
          <w:szCs w:val="24"/>
          <w:lang w:val="en-US" w:eastAsia="zh-CN"/>
        </w:rPr>
        <w:t>0</w:t>
      </w:r>
      <w:r>
        <w:rPr>
          <w:rFonts w:ascii="宋体" w:hAnsi="宋体" w:eastAsia="宋体" w:cs="宋体"/>
          <w:sz w:val="24"/>
          <w:szCs w:val="24"/>
        </w:rPr>
        <w:t>个省份</w:t>
      </w:r>
    </w:p>
    <w:p w14:paraId="632444A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边：采用“地理邻接权重+经济距离权重”的复合空间权重矩阵</w:t>
      </w:r>
    </w:p>
    <w:p w14:paraId="61F530E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输入特征：各省份2016-2023年低空经济6个一级指标、绿色交通4个一级指标的标准化数据</w:t>
      </w:r>
    </w:p>
    <w:p w14:paraId="18A990B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输出标签：各省份对应年份的绿色交通综合发展指数（来自问题一测度结果）</w:t>
      </w:r>
    </w:p>
    <w:p w14:paraId="26463C8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数据集划分：训练集（2016-2020年）、验证集（2021-2022年）、测试集（2023年）</w:t>
      </w:r>
    </w:p>
    <w:p w14:paraId="4FD9230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lang w:val="en-US" w:eastAsia="zh-CN"/>
        </w:rPr>
        <w:t>第二步多模型预测精度对比验证分别训练融合空间注意力机制的GraphSAGE、ARIMA、GM(1,1)、标准LSTM四种模型，统一设置预测步长为7年（2024-2030年），在测试集上计算MAE、RMSE、R²三个核心精度指标，量化本模型的预测优势。</w:t>
      </w:r>
    </w:p>
    <w:p w14:paraId="43D8AF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lang w:val="en-US" w:eastAsia="zh-CN"/>
        </w:rPr>
        <w:t>第三步多情景绿色交通发展趋势预测采用精度最优的GraphSAGE模型，对应三种发展情景预测2024-2030年全国及四大区域的绿色交通综合发展水平：</w:t>
      </w:r>
    </w:p>
    <w:p w14:paraId="6261684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基准投入情景：各省份低空经济投入保持2016-2023年平均增速</w:t>
      </w:r>
    </w:p>
    <w:p w14:paraId="02744ED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加大投入情景：全国低空经济总投入较基准情景提升20%</w:t>
      </w:r>
    </w:p>
    <w:p w14:paraId="2C002EE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重点投入情景：向中西部低空经济基础薄弱但绿色交通需求迫切的省份倾斜投入</w:t>
      </w:r>
    </w:p>
    <w:p w14:paraId="75D62A7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lang w:val="en-US" w:eastAsia="zh-CN"/>
        </w:rPr>
        <w:t>第四步构建多目标资源配置优化模型</w:t>
      </w:r>
    </w:p>
    <w:p w14:paraId="6206FA1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目标函数：以“2024-2030年累计绿色交通综合效益最大化”为核心目标，以“区域发展差距最小化”为次要目标</w:t>
      </w:r>
    </w:p>
    <w:p w14:paraId="5B5F3DE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决策变量：各省份低空经济产业投入、基础设施投入、创新投入的年度分配比例</w:t>
      </w:r>
    </w:p>
    <w:p w14:paraId="6B7DA6D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约束条件：保留财政承受能力、资源禀赋约束，新增“预测期内投入增速不超过地方财政收入增速”的动态约束</w:t>
      </w:r>
    </w:p>
    <w:p w14:paraId="03DCC8A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lang w:val="en-US" w:eastAsia="zh-CN"/>
        </w:rPr>
        <w:t>第五步改进自适应粒子群优化算法求解对标准粒子群优化算法引入自适应惯性权重与学习因子，提升收敛速度与全局寻优能力，求解不同发展情景下的多目标优化模型，按四大区域汇总生成最优资源配置方案。</w:t>
      </w:r>
    </w:p>
    <w:p w14:paraId="6AB2626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lang w:val="en-US" w:eastAsia="zh-CN"/>
        </w:rPr>
        <w:t>第六步方案验证与典型省份应用将优化方案与各省份历史投入数据对比验证可行性，选取山东省作为典型省份，展示优化后绿色交通综合效益提升幅度与资金使用效率改善情况。</w:t>
      </w:r>
    </w:p>
    <w:p w14:paraId="69AFC8A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ascii="宋体" w:hAnsi="宋体" w:eastAsia="宋体" w:cs="宋体"/>
          <w:sz w:val="24"/>
          <w:szCs w:val="24"/>
        </w:rPr>
      </w:pPr>
    </w:p>
    <w:p w14:paraId="67CF6AF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ascii="宋体" w:hAnsi="宋体" w:eastAsia="宋体" w:cs="宋体"/>
          <w:sz w:val="24"/>
          <w:szCs w:val="24"/>
        </w:rPr>
      </w:pPr>
      <w:r>
        <w:rPr>
          <w:rFonts w:hint="eastAsia" w:ascii="宋体" w:hAnsi="宋体" w:eastAsia="宋体" w:cs="宋体"/>
          <w:b/>
          <w:bCs/>
          <w:kern w:val="2"/>
          <w:sz w:val="24"/>
          <w:szCs w:val="24"/>
          <w:u w:val="none"/>
          <w:lang w:val="en-US" w:eastAsia="zh-CN" w:bidi="ar-SA"/>
        </w:rPr>
        <w:t>研究意义：</w:t>
      </w:r>
      <w:r>
        <w:rPr>
          <w:rFonts w:ascii="宋体" w:hAnsi="宋体" w:eastAsia="宋体" w:cs="宋体"/>
          <w:sz w:val="24"/>
          <w:szCs w:val="24"/>
        </w:rPr>
        <w:t>将原 “基于历史数据的静态优化” 升级为 “基于未来趋势的动态优化”，形成 “影响机制分析→发展趋势预测→资源配置优化” 的完整研究闭环，解决了传统政策制定前瞻性不足、依赖经验判断的问题。通过多模型精度对比量化了图神经网络预测方法的技术优势，生成的差异化投入方案具备更强的科学性与可落地性，为地方政府制定中长期低空经济与绿色交通协同发展规划提供决策依据。</w:t>
      </w:r>
    </w:p>
    <w:p w14:paraId="33AB62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eastAsia" w:ascii="宋体" w:hAnsi="宋体" w:eastAsia="宋体" w:cs="宋体"/>
          <w:b/>
          <w:bCs/>
          <w:sz w:val="24"/>
          <w:szCs w:val="24"/>
          <w:u w:val="none"/>
          <w:lang w:val="en-US" w:eastAsia="zh-CN"/>
        </w:rPr>
      </w:pPr>
      <w:r>
        <w:rPr>
          <w:rFonts w:hint="eastAsia" w:ascii="宋体" w:hAnsi="宋体" w:eastAsia="宋体" w:cs="宋体"/>
          <w:b/>
          <w:bCs/>
          <w:sz w:val="24"/>
          <w:szCs w:val="24"/>
          <w:u w:val="none"/>
          <w:lang w:val="en-US" w:eastAsia="zh-CN"/>
        </w:rPr>
        <w:t>可制作图表</w:t>
      </w:r>
    </w:p>
    <w:p w14:paraId="16C6FB3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（优先保留：收敛曲线对比图、不同模型预测精度对比柱状图、中介效应路径图、时空热力图）</w:t>
      </w:r>
    </w:p>
    <w:p w14:paraId="1BB3B75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1.不同预测模型精度对比分组柱状图（MAE/RMSE/R²）</w:t>
      </w:r>
    </w:p>
    <w:p w14:paraId="4996BD5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2.改进粒子群算法与标准粒子群算法、遗传算法的收敛曲线对比图</w:t>
      </w:r>
    </w:p>
    <w:p w14:paraId="15B1BD2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3.2024-2030 年四大区域三种情景下绿色交通发展水平预测折线图</w:t>
      </w:r>
    </w:p>
    <w:p w14:paraId="0F9E96A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4.基准情景下四大区域最优投入结构饼图</w:t>
      </w:r>
    </w:p>
    <w:p w14:paraId="35F5C2E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5.三种发展情景下四大区域绿色交通综合效益预测值对比柱状图</w:t>
      </w:r>
    </w:p>
    <w:p w14:paraId="0EE7965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6.典型省份（山东省）优化前后绿色交通发展趋势对比图</w:t>
      </w:r>
    </w:p>
    <w:p w14:paraId="12CD68D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7.全国低空经济资源配置优化建议空间分布图</w:t>
      </w:r>
    </w:p>
    <w:p w14:paraId="50F9B8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sz w:val="24"/>
          <w:szCs w:val="24"/>
          <w:lang w:val="en-US" w:eastAsia="zh-CN"/>
        </w:rPr>
      </w:pPr>
    </w:p>
    <w:p w14:paraId="137CA90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2" w:firstLineChars="200"/>
        <w:jc w:val="left"/>
        <w:textAlignment w:val="auto"/>
        <w:rPr>
          <w:rFonts w:hint="eastAsia" w:ascii="宋体" w:hAnsi="宋体" w:eastAsia="宋体" w:cs="宋体"/>
          <w:b/>
          <w:bCs/>
          <w:sz w:val="24"/>
          <w:szCs w:val="24"/>
          <w:u w:val="none"/>
          <w:lang w:val="en-US" w:eastAsia="zh-CN"/>
        </w:rPr>
      </w:pPr>
      <w:r>
        <w:rPr>
          <w:rFonts w:hint="eastAsia" w:ascii="宋体" w:hAnsi="宋体" w:eastAsia="宋体" w:cs="宋体"/>
          <w:b/>
          <w:bCs/>
          <w:sz w:val="24"/>
          <w:szCs w:val="24"/>
          <w:u w:val="none"/>
          <w:lang w:val="en-US" w:eastAsia="zh-CN"/>
        </w:rPr>
        <w:t>模型检验及对应图表</w:t>
      </w:r>
    </w:p>
    <w:p w14:paraId="5B8F08B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eastAsia" w:ascii="宋体" w:hAnsi="宋体" w:eastAsia="宋体" w:cs="宋体"/>
          <w:sz w:val="24"/>
          <w:szCs w:val="24"/>
          <w:lang w:val="en-US" w:eastAsia="zh-CN"/>
        </w:rPr>
      </w:pPr>
      <w:bookmarkStart w:id="0" w:name="_GoBack"/>
      <w:bookmarkEnd w:id="0"/>
      <w:r>
        <w:rPr>
          <w:rFonts w:hint="eastAsia" w:ascii="宋体" w:hAnsi="宋体" w:eastAsia="宋体" w:cs="宋体"/>
          <w:sz w:val="24"/>
          <w:szCs w:val="24"/>
          <w:lang w:val="en-US" w:eastAsia="zh-CN"/>
        </w:rPr>
        <w:t>1.预测模型精度检验：计算四种模型的 MAE、RMSE、R² 指标，制作对比表格与精度对比柱状图，验证创新点③的有效性</w:t>
      </w:r>
    </w:p>
    <w:p w14:paraId="05D79E1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2.预测稳健性检验：分别替换为纯地理距离矩阵、纯经济距离矩阵重新训练 GraphSAGE 模型，制作预测精度对比柱状图</w:t>
      </w:r>
    </w:p>
    <w:p w14:paraId="5962FAA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3.算法有效性检验：对比三种算法的收敛速度、最优解质量、运行时间，制作对比表格和收敛曲线</w:t>
      </w:r>
    </w:p>
    <w:p w14:paraId="4327760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4.敏感性分析：分别调整目标函数中各投入要素的权重系数，制作绿色交通综合效益变化折线图</w:t>
      </w:r>
    </w:p>
    <w:p w14:paraId="1F82E45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5.可行性检验：将优化方案与各省份历史投入数据对比，制作投入偏差条形图</w:t>
      </w:r>
    </w:p>
    <w:p w14:paraId="54183B2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eastAsia" w:ascii="宋体" w:hAnsi="宋体" w:eastAsia="宋体" w:cs="宋体"/>
          <w:sz w:val="24"/>
          <w:szCs w:val="24"/>
          <w:lang w:val="en-US" w:eastAsia="zh-CN"/>
        </w:rPr>
      </w:pPr>
    </w:p>
    <w:p w14:paraId="26827B59">
      <w:pPr>
        <w:rPr>
          <w:rFonts w:hint="default" w:eastAsia="宋体"/>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38A"/>
    <w:rsid w:val="000E538A"/>
    <w:rsid w:val="005A6523"/>
    <w:rsid w:val="009E792E"/>
    <w:rsid w:val="028413F4"/>
    <w:rsid w:val="03667570"/>
    <w:rsid w:val="059D2C8F"/>
    <w:rsid w:val="089D02C1"/>
    <w:rsid w:val="0B563C12"/>
    <w:rsid w:val="119B4BA7"/>
    <w:rsid w:val="123746B1"/>
    <w:rsid w:val="14097DC0"/>
    <w:rsid w:val="14AB0F15"/>
    <w:rsid w:val="14ED6068"/>
    <w:rsid w:val="162D0685"/>
    <w:rsid w:val="172A607C"/>
    <w:rsid w:val="17477A64"/>
    <w:rsid w:val="192A6AAD"/>
    <w:rsid w:val="1B8D0AE6"/>
    <w:rsid w:val="1C0C7B94"/>
    <w:rsid w:val="1DB203EA"/>
    <w:rsid w:val="1DD579F7"/>
    <w:rsid w:val="20AD03BD"/>
    <w:rsid w:val="231843C9"/>
    <w:rsid w:val="23284291"/>
    <w:rsid w:val="23CE7694"/>
    <w:rsid w:val="285308D0"/>
    <w:rsid w:val="2C264055"/>
    <w:rsid w:val="2DB070D3"/>
    <w:rsid w:val="2FFA3B52"/>
    <w:rsid w:val="324C6F6D"/>
    <w:rsid w:val="32CA5F7E"/>
    <w:rsid w:val="341D288D"/>
    <w:rsid w:val="36654DC1"/>
    <w:rsid w:val="3CE43076"/>
    <w:rsid w:val="3E0D34DF"/>
    <w:rsid w:val="3E3D6B2B"/>
    <w:rsid w:val="412A49EA"/>
    <w:rsid w:val="413517E3"/>
    <w:rsid w:val="43062403"/>
    <w:rsid w:val="43D37F3F"/>
    <w:rsid w:val="456761E0"/>
    <w:rsid w:val="468E4800"/>
    <w:rsid w:val="46FD569C"/>
    <w:rsid w:val="48720C99"/>
    <w:rsid w:val="492D7808"/>
    <w:rsid w:val="4C4C69CE"/>
    <w:rsid w:val="4D106EFD"/>
    <w:rsid w:val="4FF07CC1"/>
    <w:rsid w:val="53F23BDE"/>
    <w:rsid w:val="55DD5D45"/>
    <w:rsid w:val="56286E2A"/>
    <w:rsid w:val="56304DE8"/>
    <w:rsid w:val="563176E5"/>
    <w:rsid w:val="568979DD"/>
    <w:rsid w:val="568B64A4"/>
    <w:rsid w:val="583953B0"/>
    <w:rsid w:val="587303B7"/>
    <w:rsid w:val="598217E7"/>
    <w:rsid w:val="5AC83E64"/>
    <w:rsid w:val="5CE84252"/>
    <w:rsid w:val="5E1D3074"/>
    <w:rsid w:val="5E395BC5"/>
    <w:rsid w:val="5EB757F1"/>
    <w:rsid w:val="60FF2A03"/>
    <w:rsid w:val="611F0CDB"/>
    <w:rsid w:val="613C5AD4"/>
    <w:rsid w:val="63E929A0"/>
    <w:rsid w:val="64A951FF"/>
    <w:rsid w:val="65475C3D"/>
    <w:rsid w:val="65FF4126"/>
    <w:rsid w:val="66560F1C"/>
    <w:rsid w:val="67290ACE"/>
    <w:rsid w:val="68336A02"/>
    <w:rsid w:val="6C164196"/>
    <w:rsid w:val="6C3838E9"/>
    <w:rsid w:val="6D484856"/>
    <w:rsid w:val="6E6E6C34"/>
    <w:rsid w:val="6EAB2B9B"/>
    <w:rsid w:val="705A5111"/>
    <w:rsid w:val="738F524A"/>
    <w:rsid w:val="73EA74BE"/>
    <w:rsid w:val="7468692F"/>
    <w:rsid w:val="76347A17"/>
    <w:rsid w:val="769931D8"/>
    <w:rsid w:val="7B8341D3"/>
    <w:rsid w:val="7BD04699"/>
    <w:rsid w:val="7C7E7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64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60" w:beforeLines="0" w:beforeAutospacing="0" w:after="60" w:afterLines="0" w:afterAutospacing="0" w:line="300" w:lineRule="auto"/>
      <w:outlineLvl w:val="0"/>
    </w:pPr>
    <w:rPr>
      <w:kern w:val="44"/>
      <w:sz w:val="32"/>
    </w:rPr>
  </w:style>
  <w:style w:type="paragraph" w:styleId="3">
    <w:name w:val="heading 2"/>
    <w:basedOn w:val="1"/>
    <w:next w:val="1"/>
    <w:semiHidden/>
    <w:unhideWhenUsed/>
    <w:qFormat/>
    <w:uiPriority w:val="0"/>
    <w:pPr>
      <w:keepNext/>
      <w:keepLines/>
      <w:spacing w:before="60" w:beforeLines="0" w:beforeAutospacing="0" w:after="60" w:afterLines="0" w:afterAutospacing="0" w:line="300" w:lineRule="auto"/>
      <w:ind w:firstLine="640" w:firstLineChars="200"/>
      <w:outlineLvl w:val="1"/>
    </w:pPr>
    <w:rPr>
      <w:rFonts w:ascii="Arial" w:hAnsi="Arial"/>
      <w:sz w:val="30"/>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pPr>
      <w:spacing w:line="240" w:lineRule="auto"/>
      <w:jc w:val="center"/>
    </w:pPr>
    <w:rPr>
      <w:rFonts w:ascii="Arial" w:hAnsi="Arial"/>
      <w:sz w:val="21"/>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473</TotalTime>
  <ScaleCrop>false</ScaleCrop>
  <LinksUpToDate>false</LinksUpToDate>
  <CharactersWithSpaces>0</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2026-04-09T05:04:00Z</dcterms:created>
  <dc:creator>念安</dc:creator>
  <cp:lastModifiedBy>念安</cp:lastModifiedBy>
  <dcterms:modified xsi:type="dcterms:W3CDTF">2026-04-09T12:58:57Z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05C3BF8EE77B42A88418DFAFA6663A3B_11</vt:lpwstr>
  </property>
  <property fmtid="{D5CDD505-2E9C-101B-9397-08002B2CF9AE}" pid="4" name="KSOTemplateDocerSaveRecord">
    <vt:lpwstr>eyJoZGlkIjoiODBhNTM5ODYzOGJmOTE3MjkyOWMzM2Q2YzA2OWVlYWQiLCJ1c2VySWQiOiI3MjgyNDcxMTgifQ==</vt:lpwstr>
  </property>
</Properties>
</file>