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问题3 第四步补充说明：决策变量与约束条件的来源及标准化设置方法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（完全沿用您文档的指标体系与数据来源，所有参数均可直接从已有数据中提取，无需额外收集新数据）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一、决策变量的来源与具体设置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（一）核心来源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直接从</w:t>
      </w:r>
      <w:r>
        <w:rPr>
          <w:rFonts w:eastAsia="等线" w:ascii="Arial" w:cs="Arial" w:hAnsi="Arial"/>
          <w:b w:val="true"/>
          <w:sz w:val="22"/>
        </w:rPr>
        <w:t>问题1的低空经济指标体系</w:t>
      </w:r>
      <w:r>
        <w:rPr>
          <w:rFonts w:eastAsia="等线" w:ascii="Arial" w:cs="Arial" w:hAnsi="Arial"/>
          <w:sz w:val="22"/>
        </w:rPr>
        <w:t>的6个一级指标聚类而来，与前文测度体系完全同源，保证数据一致性和逻辑闭环：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产业投入：对应「产业规模+应用需求」2个一级指标的综合投入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基础设施投入：对应「基础设施+安全监管」2个一级指标的综合投入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创新投入：对应「创新能力+政策环境」2个一级指标的综合投入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（二）具体设置方式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决策变量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变量符号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取值范围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产业投入比例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某省份年度低空经济总投入中，用于产业培育与市场拓展的资金占比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中国统计年鉴、民航局统计数据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0≤x₁≤1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基础设施投入比例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某省份年度低空经济总投入中，用于起降设施、通信保障等建设的资金占比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交通运输行业发展统计公报、低空基础设施发展研究报告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0≤x₂≤1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创新投入比例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某省份年度低空经济总投入中，用于研发、人才与政策配套的资金占比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中国统计年鉴、工信部汽车行业数据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0≤x₃≤1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（三）关键约束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恒等式约束：x₁+x₂+x₃=1（三种投入之和等于该省份当年低空经济总投入）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非负约束：x₁,x₂,x₃≥0（投入比例不能为负）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二、约束条件的来源与具体设置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所有约束条件均基于</w:t>
      </w:r>
      <w:r>
        <w:rPr>
          <w:rFonts w:eastAsia="等线" w:ascii="Arial" w:cs="Arial" w:hAnsi="Arial"/>
          <w:b w:val="true"/>
          <w:sz w:val="22"/>
        </w:rPr>
        <w:t>公开统计数据+国家/地方政策红线</w:t>
      </w:r>
      <w:r>
        <w:rPr>
          <w:rFonts w:eastAsia="等线" w:ascii="Arial" w:cs="Arial" w:hAnsi="Arial"/>
          <w:sz w:val="22"/>
        </w:rPr>
        <w:t>设置，分为通用约束和分区域差异化约束两类：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（一）通用约束（所有省份统一执行）</w:t>
      </w:r>
      <w:bookmarkEnd w:id="5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财政承受能力约束（核心约束）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来源：中国统计年鉴中各省份「一般公共预算支出」数据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设置方法：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计算2016-2023年各省份低空经济相关财政支出占一般公共预算支出的平均比例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设置上限：基准情景≤历史平均比例的1.2倍；加大投入情景≤历史平均比例的1.5倍；重点投入情景≤历史平均比例的2倍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全国统一兜底上限：任何省份低空经济年度总投入占一般公共预算支出的比例不得超过5%（参考国内已出台的低空经济发展规划）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数学表达式：Iᵢₜ≤α×Fᵢₜ（Iᵢₜ为i省份t年低空经济总投入；Fᵢₜ为i省份t年一般公共预算支出；α为比例上限）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动态增速约束（新增）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来源：中国统计年鉴中各省份「一般公共预算收入」历史增速数据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设置方法：预测2024-2030年各省份财政收入年均增速，设置低空经济投入年均增速不得超过财政收入增速的1.2倍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数学表达式：(Iᵢₜ/Iᵢₜ₋₁)-1≤1.2×(Fᵢₜ/Fᵢₜ₋₁)-1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资源禀赋上限约束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来源：民航局统计数据、中国城市建设统计年鉴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设置方法：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低空起降设施：每万平方公里最多建设15个通用机场（参考《全国通用机场布局规划》）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移动电话基站密度：最高不超过当前东部发达省份平均水平的1.5倍（约200个/平方公里）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民用运输机场：单个省份最多不超过20个（参考当前全国机场分布密度）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（二）分区域差异化约束（四大区域分别设置）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差异化约束内容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设置依据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东部地区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空域资源约束：低空开放空域占比≤30%&lt;br&gt;2. 基础设施投入上限：x₂≤0.4（避免重复建设）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东部空域繁忙，现有基础设施相对完善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中部地区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产业投入下限：x₁≥0.3（重点培育低空制造产业）&lt;br&gt;2. 创新投入下限：x₃≥0.25（承接东部产业转移）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中部工业基础好，具备产业承接能力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西部地区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基础设施投入下限：x₂≥0.4（补齐基础设施短板）&lt;br&gt;2. 财政转移支付倾斜：中央财政补贴占比≤50%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西部空域资源丰富，但基础设施薄弱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东北地区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产业投入上限：x₁≤0.3（避免盲目扩张）&lt;br&gt;2. 创新投入上限：x₃≤0.3（结合现有科研实力）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东北传统产业转型压力大，市场需求有限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（三）情景专属约束</w:t>
      </w:r>
      <w:bookmarkEnd w:id="7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基准投入情景</w:t>
      </w:r>
      <w:r>
        <w:rPr>
          <w:rFonts w:eastAsia="等线" w:ascii="Arial" w:cs="Arial" w:hAnsi="Arial"/>
          <w:sz w:val="22"/>
        </w:rPr>
        <w:t>：所有约束按上述默认值执行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加大投入情景</w:t>
      </w:r>
      <w:r>
        <w:rPr>
          <w:rFonts w:eastAsia="等线" w:ascii="Arial" w:cs="Arial" w:hAnsi="Arial"/>
          <w:sz w:val="22"/>
        </w:rPr>
        <w:t>：全国低空经济总投入较基准情景提升20%，财政承受能力上限同步提升至历史平均比例的1.5倍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重点投入情景</w:t>
      </w:r>
      <w:r>
        <w:rPr>
          <w:rFonts w:eastAsia="等线" w:ascii="Arial" w:cs="Arial" w:hAnsi="Arial"/>
          <w:sz w:val="22"/>
        </w:rPr>
        <w:t>：中西部省份财政承受能力上限提升至历史平均比例的2倍，东部省份保持基准情景上限不变；总投入的60%向中西部省份倾斜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三、参数校准与调整方法</w:t>
      </w:r>
      <w:bookmarkEnd w:id="8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历史数据校准</w:t>
      </w:r>
      <w:r>
        <w:rPr>
          <w:rFonts w:eastAsia="等线" w:ascii="Arial" w:cs="Arial" w:hAnsi="Arial"/>
          <w:sz w:val="22"/>
        </w:rPr>
        <w:t>：先用2021-2023年的实际投入数据代入模型，调整约束参数，使模型输出的最优投入结构与实际投入结构的偏差不超过10%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敏感性分析</w:t>
      </w:r>
      <w:r>
        <w:rPr>
          <w:rFonts w:eastAsia="等线" w:ascii="Arial" w:cs="Arial" w:hAnsi="Arial"/>
          <w:sz w:val="22"/>
        </w:rPr>
        <w:t>：对核心约束参数（如财政投入比例上限、增速上限）进行±20%的调整，观察最优资源配置方案的变化幅度，验证结果的稳定性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政策适配</w:t>
      </w:r>
      <w:r>
        <w:rPr>
          <w:rFonts w:eastAsia="等线" w:ascii="Arial" w:cs="Arial" w:hAnsi="Arial"/>
          <w:sz w:val="22"/>
        </w:rPr>
        <w:t>：若某省份已出台明确的低空经济发展规划，可直接采用规划中的投入比例作为该省份的约束条件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需要我把这些决策变量和约束条件直接写成</w:t>
      </w:r>
      <w:r>
        <w:rPr>
          <w:rFonts w:eastAsia="等线" w:ascii="Arial" w:cs="Arial" w:hAnsi="Arial"/>
          <w:b w:val="true"/>
          <w:sz w:val="22"/>
        </w:rPr>
        <w:t>可代入MATLAB粒子群算法的数学表达式</w:t>
      </w:r>
      <w:r>
        <w:rPr>
          <w:rFonts w:eastAsia="等线" w:ascii="Arial" w:cs="Arial" w:hAnsi="Arial"/>
          <w:sz w:val="22"/>
        </w:rPr>
        <w:t>，并附上山东省的具体参数示例吗？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936059">
    <w:lvl>
      <w:numFmt w:val="bullet"/>
      <w:suff w:val="tab"/>
      <w:lvlText w:val="•"/>
      <w:rPr>
        <w:color w:val="3370ff"/>
      </w:rPr>
    </w:lvl>
  </w:abstractNum>
  <w:abstractNum w:abstractNumId="33936060">
    <w:lvl>
      <w:numFmt w:val="bullet"/>
      <w:suff w:val="tab"/>
      <w:lvlText w:val="•"/>
      <w:rPr>
        <w:color w:val="3370ff"/>
      </w:rPr>
    </w:lvl>
  </w:abstractNum>
  <w:abstractNum w:abstractNumId="33936061">
    <w:lvl>
      <w:numFmt w:val="bullet"/>
      <w:suff w:val="tab"/>
      <w:lvlText w:val="•"/>
      <w:rPr>
        <w:color w:val="3370ff"/>
      </w:rPr>
    </w:lvl>
  </w:abstractNum>
  <w:abstractNum w:abstractNumId="33936062">
    <w:lvl>
      <w:numFmt w:val="bullet"/>
      <w:suff w:val="tab"/>
      <w:lvlText w:val="•"/>
      <w:rPr>
        <w:color w:val="3370ff"/>
      </w:rPr>
    </w:lvl>
  </w:abstractNum>
  <w:abstractNum w:abstractNumId="33936063">
    <w:lvl>
      <w:numFmt w:val="bullet"/>
      <w:suff w:val="tab"/>
      <w:lvlText w:val="•"/>
      <w:rPr>
        <w:color w:val="3370ff"/>
      </w:rPr>
    </w:lvl>
  </w:abstractNum>
  <w:abstractNum w:abstractNumId="33936064">
    <w:lvl>
      <w:start w:val="1"/>
      <w:numFmt w:val="decimal"/>
      <w:suff w:val="tab"/>
      <w:lvlText w:val="%1."/>
      <w:rPr>
        <w:color w:val="3370ff"/>
      </w:rPr>
    </w:lvl>
  </w:abstractNum>
  <w:abstractNum w:abstractNumId="33936065">
    <w:lvl>
      <w:numFmt w:val="bullet"/>
      <w:suff w:val="tab"/>
      <w:lvlText w:val="￮"/>
      <w:rPr>
        <w:color w:val="3370ff"/>
      </w:rPr>
    </w:lvl>
  </w:abstractNum>
  <w:abstractNum w:abstractNumId="33936066">
    <w:lvl>
      <w:numFmt w:val="bullet"/>
      <w:suff w:val="tab"/>
      <w:lvlText w:val="￮"/>
      <w:rPr>
        <w:color w:val="3370ff"/>
      </w:rPr>
    </w:lvl>
  </w:abstractNum>
  <w:abstractNum w:abstractNumId="33936067">
    <w:lvl>
      <w:numFmt w:val="bullet"/>
      <w:suff w:val="tab"/>
      <w:lvlText w:val="▪"/>
      <w:rPr>
        <w:color w:val="3370ff"/>
        <w:sz w:val="11"/>
      </w:rPr>
    </w:lvl>
  </w:abstractNum>
  <w:abstractNum w:abstractNumId="33936068">
    <w:lvl>
      <w:numFmt w:val="bullet"/>
      <w:suff w:val="tab"/>
      <w:lvlText w:val="▪"/>
      <w:rPr>
        <w:color w:val="3370ff"/>
        <w:sz w:val="11"/>
      </w:rPr>
    </w:lvl>
  </w:abstractNum>
  <w:abstractNum w:abstractNumId="33936069">
    <w:lvl>
      <w:numFmt w:val="bullet"/>
      <w:suff w:val="tab"/>
      <w:lvlText w:val="▪"/>
      <w:rPr>
        <w:color w:val="3370ff"/>
        <w:sz w:val="11"/>
      </w:rPr>
    </w:lvl>
  </w:abstractNum>
  <w:abstractNum w:abstractNumId="33936070">
    <w:lvl>
      <w:numFmt w:val="bullet"/>
      <w:suff w:val="tab"/>
      <w:lvlText w:val="￮"/>
      <w:rPr>
        <w:color w:val="3370ff"/>
      </w:rPr>
    </w:lvl>
  </w:abstractNum>
  <w:abstractNum w:abstractNumId="33936071">
    <w:lvl>
      <w:start w:val="2"/>
      <w:numFmt w:val="decimal"/>
      <w:suff w:val="tab"/>
      <w:lvlText w:val="%1."/>
      <w:rPr>
        <w:color w:val="3370ff"/>
      </w:rPr>
    </w:lvl>
  </w:abstractNum>
  <w:abstractNum w:abstractNumId="33936072">
    <w:lvl>
      <w:numFmt w:val="bullet"/>
      <w:suff w:val="tab"/>
      <w:lvlText w:val="￮"/>
      <w:rPr>
        <w:color w:val="3370ff"/>
      </w:rPr>
    </w:lvl>
  </w:abstractNum>
  <w:abstractNum w:abstractNumId="33936073">
    <w:lvl>
      <w:numFmt w:val="bullet"/>
      <w:suff w:val="tab"/>
      <w:lvlText w:val="￮"/>
      <w:rPr>
        <w:color w:val="3370ff"/>
      </w:rPr>
    </w:lvl>
  </w:abstractNum>
  <w:abstractNum w:abstractNumId="33936074">
    <w:lvl>
      <w:numFmt w:val="bullet"/>
      <w:suff w:val="tab"/>
      <w:lvlText w:val="￮"/>
      <w:rPr>
        <w:color w:val="3370ff"/>
      </w:rPr>
    </w:lvl>
  </w:abstractNum>
  <w:abstractNum w:abstractNumId="33936075">
    <w:lvl>
      <w:start w:val="3"/>
      <w:numFmt w:val="decimal"/>
      <w:suff w:val="tab"/>
      <w:lvlText w:val="%1."/>
      <w:rPr>
        <w:color w:val="3370ff"/>
      </w:rPr>
    </w:lvl>
  </w:abstractNum>
  <w:abstractNum w:abstractNumId="33936076">
    <w:lvl>
      <w:numFmt w:val="bullet"/>
      <w:suff w:val="tab"/>
      <w:lvlText w:val="￮"/>
      <w:rPr>
        <w:color w:val="3370ff"/>
      </w:rPr>
    </w:lvl>
  </w:abstractNum>
  <w:abstractNum w:abstractNumId="33936077">
    <w:lvl>
      <w:numFmt w:val="bullet"/>
      <w:suff w:val="tab"/>
      <w:lvlText w:val="￮"/>
      <w:rPr>
        <w:color w:val="3370ff"/>
      </w:rPr>
    </w:lvl>
  </w:abstractNum>
  <w:abstractNum w:abstractNumId="33936078">
    <w:lvl>
      <w:numFmt w:val="bullet"/>
      <w:suff w:val="tab"/>
      <w:lvlText w:val="▪"/>
      <w:rPr>
        <w:color w:val="3370ff"/>
        <w:sz w:val="11"/>
      </w:rPr>
    </w:lvl>
  </w:abstractNum>
  <w:abstractNum w:abstractNumId="33936079">
    <w:lvl>
      <w:numFmt w:val="bullet"/>
      <w:suff w:val="tab"/>
      <w:lvlText w:val="▪"/>
      <w:rPr>
        <w:color w:val="3370ff"/>
        <w:sz w:val="11"/>
      </w:rPr>
    </w:lvl>
  </w:abstractNum>
  <w:abstractNum w:abstractNumId="33936080">
    <w:lvl>
      <w:numFmt w:val="bullet"/>
      <w:suff w:val="tab"/>
      <w:lvlText w:val="▪"/>
      <w:rPr>
        <w:color w:val="3370ff"/>
        <w:sz w:val="11"/>
      </w:rPr>
    </w:lvl>
  </w:abstractNum>
  <w:abstractNum w:abstractNumId="33936081">
    <w:lvl>
      <w:start w:val="1"/>
      <w:numFmt w:val="decimal"/>
      <w:suff w:val="tab"/>
      <w:lvlText w:val="%1."/>
      <w:rPr>
        <w:color w:val="3370ff"/>
      </w:rPr>
    </w:lvl>
  </w:abstractNum>
  <w:abstractNum w:abstractNumId="33936082">
    <w:lvl>
      <w:start w:val="2"/>
      <w:numFmt w:val="decimal"/>
      <w:suff w:val="tab"/>
      <w:lvlText w:val="%1."/>
      <w:rPr>
        <w:color w:val="3370ff"/>
      </w:rPr>
    </w:lvl>
  </w:abstractNum>
  <w:abstractNum w:abstractNumId="33936083">
    <w:lvl>
      <w:start w:val="3"/>
      <w:numFmt w:val="decimal"/>
      <w:suff w:val="tab"/>
      <w:lvlText w:val="%1."/>
      <w:rPr>
        <w:color w:val="3370ff"/>
      </w:rPr>
    </w:lvl>
  </w:abstractNum>
  <w:abstractNum w:abstractNumId="33936084">
    <w:lvl>
      <w:start w:val="1"/>
      <w:numFmt w:val="decimal"/>
      <w:suff w:val="tab"/>
      <w:lvlText w:val="%1."/>
      <w:rPr>
        <w:color w:val="3370ff"/>
      </w:rPr>
    </w:lvl>
  </w:abstractNum>
  <w:abstractNum w:abstractNumId="33936085">
    <w:lvl>
      <w:start w:val="2"/>
      <w:numFmt w:val="decimal"/>
      <w:suff w:val="tab"/>
      <w:lvlText w:val="%1."/>
      <w:rPr>
        <w:color w:val="3370ff"/>
      </w:rPr>
    </w:lvl>
  </w:abstractNum>
  <w:abstractNum w:abstractNumId="33936086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3936059"/>
  </w:num>
  <w:num w:numId="2">
    <w:abstractNumId w:val="33936060"/>
  </w:num>
  <w:num w:numId="3">
    <w:abstractNumId w:val="33936061"/>
  </w:num>
  <w:num w:numId="4">
    <w:abstractNumId w:val="33936062"/>
  </w:num>
  <w:num w:numId="5">
    <w:abstractNumId w:val="33936063"/>
  </w:num>
  <w:num w:numId="6">
    <w:abstractNumId w:val="33936064"/>
  </w:num>
  <w:num w:numId="7">
    <w:abstractNumId w:val="33936065"/>
  </w:num>
  <w:num w:numId="8">
    <w:abstractNumId w:val="33936066"/>
  </w:num>
  <w:num w:numId="9">
    <w:abstractNumId w:val="33936067"/>
  </w:num>
  <w:num w:numId="10">
    <w:abstractNumId w:val="33936068"/>
  </w:num>
  <w:num w:numId="11">
    <w:abstractNumId w:val="33936069"/>
  </w:num>
  <w:num w:numId="12">
    <w:abstractNumId w:val="33936070"/>
  </w:num>
  <w:num w:numId="13">
    <w:abstractNumId w:val="33936071"/>
  </w:num>
  <w:num w:numId="14">
    <w:abstractNumId w:val="33936072"/>
  </w:num>
  <w:num w:numId="15">
    <w:abstractNumId w:val="33936073"/>
  </w:num>
  <w:num w:numId="16">
    <w:abstractNumId w:val="33936074"/>
  </w:num>
  <w:num w:numId="17">
    <w:abstractNumId w:val="33936075"/>
  </w:num>
  <w:num w:numId="18">
    <w:abstractNumId w:val="33936076"/>
  </w:num>
  <w:num w:numId="19">
    <w:abstractNumId w:val="33936077"/>
  </w:num>
  <w:num w:numId="20">
    <w:abstractNumId w:val="33936078"/>
  </w:num>
  <w:num w:numId="21">
    <w:abstractNumId w:val="33936079"/>
  </w:num>
  <w:num w:numId="22">
    <w:abstractNumId w:val="33936080"/>
  </w:num>
  <w:num w:numId="23">
    <w:abstractNumId w:val="33936081"/>
  </w:num>
  <w:num w:numId="24">
    <w:abstractNumId w:val="33936082"/>
  </w:num>
  <w:num w:numId="25">
    <w:abstractNumId w:val="33936083"/>
  </w:num>
  <w:num w:numId="26">
    <w:abstractNumId w:val="33936084"/>
  </w:num>
  <w:num w:numId="27">
    <w:abstractNumId w:val="33936085"/>
  </w:num>
  <w:num w:numId="28">
    <w:abstractNumId w:val="339360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2026-04-09T13:04:27Z</dcterms:created>
  <dc:creator>Apache POI</dc:creator>
</cp:coreProperties>
</file>