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97B6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pacing w:val="-2"/>
          <w:sz w:val="24"/>
          <w:szCs w:val="24"/>
        </w:rPr>
      </w:pPr>
      <w:r>
        <w:rPr>
          <w:rFonts w:hint="eastAsia" w:ascii="宋体" w:hAnsi="宋体" w:eastAsia="宋体" w:cs="宋体"/>
          <w:b/>
          <w:bCs/>
          <w:color w:val="0000FF"/>
          <w:spacing w:val="-2"/>
          <w:sz w:val="24"/>
          <w:szCs w:val="24"/>
          <w:lang w:val="en-US" w:eastAsia="en-US"/>
        </w:rPr>
        <w:t>1.</w:t>
      </w:r>
      <w:r>
        <w:rPr>
          <w:rFonts w:hint="eastAsia" w:ascii="宋体" w:hAnsi="宋体" w:eastAsia="宋体" w:cs="宋体"/>
          <w:b/>
          <w:bCs/>
          <w:color w:val="0000FF"/>
          <w:spacing w:val="-2"/>
          <w:sz w:val="24"/>
          <w:szCs w:val="24"/>
        </w:rPr>
        <w:t>研究主题</w:t>
      </w:r>
      <w:r>
        <w:rPr>
          <w:rFonts w:hint="eastAsia" w:ascii="宋体" w:hAnsi="宋体" w:eastAsia="宋体" w:cs="宋体"/>
          <w:b/>
          <w:bCs/>
          <w:spacing w:val="-2"/>
          <w:sz w:val="24"/>
          <w:szCs w:val="24"/>
        </w:rPr>
        <w:t>：</w:t>
      </w:r>
    </w:p>
    <w:p w14:paraId="2A3BAB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研究聚焦低空经济对绿色交通的赋能效应，构建双系统综合评价体系，通过融合统计计量与深度学习方法量化影响机制、预测发展趋势并优化资源配置，为区域低空经济与绿色交通协同发展提供可落地的决策支持。</w:t>
      </w:r>
    </w:p>
    <w:p w14:paraId="52EF8D7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pacing w:val="-2"/>
          <w:sz w:val="24"/>
          <w:szCs w:val="24"/>
        </w:rPr>
      </w:pPr>
      <w:r>
        <w:rPr>
          <w:rFonts w:hint="eastAsia" w:ascii="宋体" w:hAnsi="宋体" w:eastAsia="宋体" w:cs="宋体"/>
          <w:b/>
          <w:bCs/>
          <w:color w:val="0000FF"/>
          <w:spacing w:val="-2"/>
          <w:sz w:val="24"/>
          <w:szCs w:val="24"/>
          <w:lang w:val="en-US" w:eastAsia="en-US"/>
        </w:rPr>
        <w:t>2.</w:t>
      </w:r>
      <w:r>
        <w:rPr>
          <w:rFonts w:hint="eastAsia" w:ascii="宋体" w:hAnsi="宋体" w:eastAsia="宋体" w:cs="宋体"/>
          <w:b/>
          <w:bCs/>
          <w:color w:val="0000FF"/>
          <w:spacing w:val="-2"/>
          <w:sz w:val="24"/>
          <w:szCs w:val="24"/>
        </w:rPr>
        <w:t>主要内容</w:t>
      </w:r>
      <w:r>
        <w:rPr>
          <w:rFonts w:hint="eastAsia" w:ascii="宋体" w:hAnsi="宋体" w:eastAsia="宋体" w:cs="宋体"/>
          <w:b/>
          <w:bCs/>
          <w:color w:val="auto"/>
          <w:spacing w:val="-2"/>
          <w:sz w:val="24"/>
          <w:szCs w:val="24"/>
        </w:rPr>
        <w:t>：</w:t>
      </w:r>
    </w:p>
    <w:p w14:paraId="78C02F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本研究基于低空经济与绿色交通双维度指标体系，首先采用改进的时间衰减CRITIC-熵权组合赋权法，测度2016-2023年全国31个省份双系统的综合发展水平，刻画其时空演变特征并对比东部、中部、西部、东北四大区域的发展差异，解决传统静态赋权法对新兴产业早期数据代表性不足的问题</w:t>
      </w:r>
      <w:r>
        <w:rPr>
          <w:rFonts w:hint="eastAsia" w:ascii="宋体" w:hAnsi="宋体" w:eastAsia="宋体" w:cs="宋体"/>
          <w:sz w:val="24"/>
          <w:szCs w:val="24"/>
          <w:lang w:eastAsia="zh-CN"/>
        </w:rPr>
        <w:t>。</w:t>
      </w:r>
    </w:p>
    <w:p w14:paraId="44F8AC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其次</w:t>
      </w:r>
      <w:r>
        <w:rPr>
          <w:rFonts w:hint="eastAsia" w:ascii="宋体" w:hAnsi="宋体" w:eastAsia="宋体" w:cs="宋体"/>
          <w:sz w:val="24"/>
          <w:szCs w:val="24"/>
          <w:lang w:eastAsia="zh-CN"/>
        </w:rPr>
        <w:t>，</w:t>
      </w:r>
      <w:r>
        <w:rPr>
          <w:rFonts w:ascii="宋体" w:hAnsi="宋体" w:eastAsia="宋体" w:cs="宋体"/>
          <w:sz w:val="24"/>
          <w:szCs w:val="24"/>
        </w:rPr>
        <w:t>构建空间杜宾-多路径并行中介效应融合模型，先通过全局与局部莫兰指数验证双系统的空间自相关性，再分解低空经济对绿色交通的直接影响与间接溢出效应，同时检验三条核心传导路径的独立贡献度与交互影响，并按四大区域开展异质性分析，弥补传统面板回归模型忽略空间关联性与多路径交互作用的缺陷</w:t>
      </w:r>
      <w:r>
        <w:rPr>
          <w:rFonts w:hint="eastAsia" w:ascii="宋体" w:hAnsi="宋体" w:eastAsia="宋体" w:cs="宋体"/>
          <w:sz w:val="24"/>
          <w:szCs w:val="24"/>
          <w:lang w:eastAsia="zh-CN"/>
        </w:rPr>
        <w:t>。</w:t>
      </w:r>
    </w:p>
    <w:p w14:paraId="27A2A3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sz w:val="24"/>
          <w:szCs w:val="24"/>
        </w:rPr>
      </w:pPr>
      <w:r>
        <w:rPr>
          <w:rFonts w:ascii="宋体" w:hAnsi="宋体" w:eastAsia="宋体" w:cs="宋体"/>
          <w:sz w:val="24"/>
          <w:szCs w:val="24"/>
        </w:rPr>
        <w:t>最后</w:t>
      </w:r>
      <w:r>
        <w:rPr>
          <w:rFonts w:hint="eastAsia" w:ascii="宋体" w:hAnsi="宋体" w:eastAsia="宋体" w:cs="宋体"/>
          <w:sz w:val="24"/>
          <w:szCs w:val="24"/>
          <w:lang w:eastAsia="zh-CN"/>
        </w:rPr>
        <w:t>，</w:t>
      </w:r>
      <w:r>
        <w:rPr>
          <w:rFonts w:ascii="宋体" w:hAnsi="宋体" w:eastAsia="宋体" w:cs="宋体"/>
          <w:sz w:val="24"/>
          <w:szCs w:val="24"/>
        </w:rPr>
        <w:t>基于影响机制分析结果，采用改进的自适应粒子群优化算法求解多目标资源配置模型，设置基准投入、加大投入、重点投入三种发展情景，按四大区域汇总生成差异化的最优低空经济资源配置方案，解决传统政策制定依赖经验判断、缺乏量化支撑的问题，为地方政府推动低空经济与绿色交通协同发展提供科学的决策依据。</w:t>
      </w:r>
    </w:p>
    <w:p w14:paraId="76E091B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pacing w:val="-2"/>
          <w:sz w:val="24"/>
          <w:szCs w:val="24"/>
        </w:rPr>
      </w:pPr>
      <w:r>
        <w:rPr>
          <w:rFonts w:hint="eastAsia" w:ascii="宋体" w:hAnsi="宋体" w:eastAsia="宋体" w:cs="宋体"/>
          <w:b/>
          <w:bCs/>
          <w:color w:val="0000FF"/>
          <w:spacing w:val="-2"/>
          <w:sz w:val="24"/>
          <w:szCs w:val="24"/>
          <w:lang w:val="en-US" w:eastAsia="en-US"/>
        </w:rPr>
        <w:t>3.</w:t>
      </w:r>
      <w:r>
        <w:rPr>
          <w:rFonts w:hint="eastAsia" w:ascii="宋体" w:hAnsi="宋体" w:eastAsia="宋体" w:cs="宋体"/>
          <w:b/>
          <w:bCs/>
          <w:color w:val="0000FF"/>
          <w:spacing w:val="-2"/>
          <w:sz w:val="24"/>
          <w:szCs w:val="24"/>
        </w:rPr>
        <w:t>数据来源</w:t>
      </w:r>
      <w:r>
        <w:rPr>
          <w:rFonts w:hint="eastAsia" w:ascii="宋体" w:hAnsi="宋体" w:eastAsia="宋体" w:cs="宋体"/>
          <w:b/>
          <w:bCs/>
          <w:color w:val="auto"/>
          <w:spacing w:val="-2"/>
          <w:sz w:val="24"/>
          <w:szCs w:val="24"/>
        </w:rPr>
        <w:t>：</w:t>
      </w:r>
    </w:p>
    <w:p w14:paraId="09745E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通运输行业发展统计公报，城市建设统计年鉴，中国主要城市道路网密度与运行状态监测报告，全国电动汽车充换电基础设施运行情况，工信部汽车行业数据，民航局统计数据，低空基础设施发展研究报告，中国城市建设状况公报，中国统计年鉴，中国主要城市交通分析报告，中国噪声污染防治报告，国家统计局国家数据平台。</w:t>
      </w:r>
    </w:p>
    <w:p w14:paraId="3FF55F69">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pacing w:val="-2"/>
          <w:sz w:val="24"/>
          <w:szCs w:val="24"/>
        </w:rPr>
      </w:pPr>
      <w:r>
        <w:rPr>
          <w:rFonts w:hint="eastAsia" w:ascii="宋体" w:hAnsi="宋体" w:eastAsia="宋体" w:cs="宋体"/>
          <w:b/>
          <w:bCs/>
          <w:color w:val="0000FF"/>
          <w:spacing w:val="-2"/>
          <w:sz w:val="24"/>
          <w:szCs w:val="24"/>
        </w:rPr>
        <w:t>指标体系</w:t>
      </w:r>
      <w:r>
        <w:rPr>
          <w:rFonts w:hint="eastAsia" w:ascii="宋体" w:hAnsi="宋体" w:eastAsia="宋体" w:cs="宋体"/>
          <w:b/>
          <w:bCs/>
          <w:color w:val="auto"/>
          <w:spacing w:val="-2"/>
          <w:sz w:val="24"/>
          <w:szCs w:val="24"/>
        </w:rPr>
        <w:t>：</w:t>
      </w:r>
    </w:p>
    <w:p w14:paraId="4E47CACB">
      <w:pPr>
        <w:keepNext w:val="0"/>
        <w:keepLines w:val="0"/>
        <w:pageBreakBefore w:val="0"/>
        <w:widowControl/>
        <w:kinsoku w:val="0"/>
        <w:wordWrap/>
        <w:overflowPunct/>
        <w:topLinePunct w:val="0"/>
        <w:autoSpaceDE w:val="0"/>
        <w:autoSpaceDN w:val="0"/>
        <w:bidi w:val="0"/>
        <w:adjustRightInd w:val="0"/>
        <w:snapToGrid w:val="0"/>
        <w:spacing w:after="0" w:afterLines="50"/>
        <w:jc w:val="center"/>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低空经济指标体系</w:t>
      </w:r>
    </w:p>
    <w:tbl>
      <w:tblPr>
        <w:tblStyle w:val="4"/>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0"/>
        <w:gridCol w:w="2206"/>
        <w:gridCol w:w="3627"/>
        <w:gridCol w:w="588"/>
        <w:gridCol w:w="1665"/>
      </w:tblGrid>
      <w:tr w14:paraId="6B7F9F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tcBorders>
              <w:bottom w:val="single" w:color="auto" w:sz="8" w:space="0"/>
            </w:tcBorders>
            <w:vAlign w:val="center"/>
          </w:tcPr>
          <w:p w14:paraId="3357801C">
            <w:pPr>
              <w:widowControl w:val="0"/>
              <w:jc w:val="center"/>
              <w:rPr>
                <w:rFonts w:hint="default"/>
                <w:sz w:val="24"/>
                <w:szCs w:val="24"/>
                <w:vertAlign w:val="baseline"/>
                <w:lang w:val="en-US" w:eastAsia="zh-CN"/>
              </w:rPr>
            </w:pPr>
            <w:r>
              <w:rPr>
                <w:rFonts w:hint="eastAsia"/>
                <w:sz w:val="24"/>
                <w:szCs w:val="24"/>
                <w:vertAlign w:val="baseline"/>
                <w:lang w:val="en-US" w:eastAsia="zh-CN"/>
              </w:rPr>
              <w:t>一级指标</w:t>
            </w:r>
          </w:p>
        </w:tc>
        <w:tc>
          <w:tcPr>
            <w:tcW w:w="1249" w:type="pct"/>
            <w:tcBorders>
              <w:bottom w:val="single" w:color="auto" w:sz="8" w:space="0"/>
            </w:tcBorders>
            <w:vAlign w:val="center"/>
          </w:tcPr>
          <w:p w14:paraId="6C08C5A4">
            <w:pPr>
              <w:widowControl w:val="0"/>
              <w:jc w:val="center"/>
              <w:rPr>
                <w:rFonts w:hint="default"/>
                <w:sz w:val="24"/>
                <w:szCs w:val="24"/>
                <w:vertAlign w:val="baseline"/>
                <w:lang w:val="en-US" w:eastAsia="zh-CN"/>
              </w:rPr>
            </w:pPr>
            <w:r>
              <w:rPr>
                <w:rFonts w:hint="eastAsia"/>
                <w:sz w:val="24"/>
                <w:szCs w:val="24"/>
                <w:vertAlign w:val="baseline"/>
                <w:lang w:val="en-US" w:eastAsia="zh-CN"/>
              </w:rPr>
              <w:t>二级指标</w:t>
            </w:r>
          </w:p>
        </w:tc>
        <w:tc>
          <w:tcPr>
            <w:tcW w:w="2054" w:type="pct"/>
            <w:tcBorders>
              <w:bottom w:val="single" w:color="auto" w:sz="8" w:space="0"/>
            </w:tcBorders>
            <w:vAlign w:val="center"/>
          </w:tcPr>
          <w:p w14:paraId="5BFFE871">
            <w:pPr>
              <w:widowControl w:val="0"/>
              <w:jc w:val="center"/>
              <w:rPr>
                <w:rFonts w:hint="default"/>
                <w:sz w:val="24"/>
                <w:szCs w:val="24"/>
                <w:vertAlign w:val="baseline"/>
                <w:lang w:val="en-US" w:eastAsia="zh-CN"/>
              </w:rPr>
            </w:pPr>
            <w:r>
              <w:rPr>
                <w:rFonts w:hint="eastAsia"/>
                <w:sz w:val="24"/>
                <w:szCs w:val="24"/>
                <w:vertAlign w:val="baseline"/>
                <w:lang w:val="en-US" w:eastAsia="zh-CN"/>
              </w:rPr>
              <w:t>指标的定义</w:t>
            </w:r>
          </w:p>
        </w:tc>
        <w:tc>
          <w:tcPr>
            <w:tcW w:w="333" w:type="pct"/>
            <w:tcBorders>
              <w:bottom w:val="single" w:color="auto" w:sz="8" w:space="0"/>
            </w:tcBorders>
            <w:vAlign w:val="center"/>
          </w:tcPr>
          <w:p w14:paraId="418FF262">
            <w:pPr>
              <w:widowControl w:val="0"/>
              <w:jc w:val="center"/>
              <w:rPr>
                <w:rFonts w:hint="default"/>
                <w:sz w:val="24"/>
                <w:szCs w:val="24"/>
                <w:vertAlign w:val="baseline"/>
                <w:lang w:val="en-US" w:eastAsia="zh-CN"/>
              </w:rPr>
            </w:pPr>
            <w:r>
              <w:rPr>
                <w:rFonts w:hint="eastAsia"/>
                <w:sz w:val="24"/>
                <w:szCs w:val="24"/>
                <w:vertAlign w:val="baseline"/>
                <w:lang w:val="en-US" w:eastAsia="zh-CN"/>
              </w:rPr>
              <w:t>属性</w:t>
            </w:r>
          </w:p>
        </w:tc>
        <w:tc>
          <w:tcPr>
            <w:tcW w:w="943" w:type="pct"/>
            <w:tcBorders>
              <w:bottom w:val="single" w:color="auto" w:sz="8" w:space="0"/>
            </w:tcBorders>
            <w:vAlign w:val="center"/>
          </w:tcPr>
          <w:p w14:paraId="1E36625C">
            <w:pPr>
              <w:widowControl w:val="0"/>
              <w:jc w:val="center"/>
              <w:rPr>
                <w:rFonts w:hint="default"/>
                <w:sz w:val="24"/>
                <w:szCs w:val="24"/>
                <w:vertAlign w:val="baseline"/>
                <w:lang w:val="en-US" w:eastAsia="zh-CN"/>
              </w:rPr>
            </w:pPr>
            <w:r>
              <w:rPr>
                <w:rFonts w:hint="eastAsia"/>
                <w:sz w:val="24"/>
                <w:szCs w:val="24"/>
                <w:vertAlign w:val="baseline"/>
                <w:lang w:val="en-US" w:eastAsia="zh-CN"/>
              </w:rPr>
              <w:t>单位</w:t>
            </w:r>
          </w:p>
        </w:tc>
      </w:tr>
      <w:tr w14:paraId="714EAE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restart"/>
            <w:vAlign w:val="center"/>
          </w:tcPr>
          <w:p w14:paraId="7FF4212B">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产业规模</w:t>
            </w:r>
          </w:p>
        </w:tc>
        <w:tc>
          <w:tcPr>
            <w:tcW w:w="1249" w:type="pct"/>
            <w:shd w:val="clear" w:color="auto" w:fill="auto"/>
            <w:vAlign w:val="center"/>
          </w:tcPr>
          <w:p w14:paraId="6153D004">
            <w:pPr>
              <w:keepNext w:val="0"/>
              <w:keepLines w:val="0"/>
              <w:widowControl/>
              <w:suppressLineNumbers w:val="0"/>
              <w:jc w:val="center"/>
              <w:rPr>
                <w:rFonts w:hint="eastAsia" w:ascii="Arial" w:hAnsi="Arial" w:eastAsia="Arial" w:cs="Arial"/>
                <w:snapToGrid w:val="0"/>
                <w:color w:val="000000"/>
                <w:kern w:val="0"/>
                <w:sz w:val="21"/>
                <w:szCs w:val="21"/>
                <w:lang w:val="en-US" w:eastAsia="zh-CN" w:bidi="ar-SA"/>
              </w:rPr>
            </w:pPr>
            <w:r>
              <w:rPr>
                <w:rFonts w:ascii="宋体" w:hAnsi="宋体" w:eastAsia="宋体" w:cs="宋体"/>
                <w:sz w:val="24"/>
                <w:szCs w:val="24"/>
              </w:rPr>
              <w:t>低空制造产值规模</w:t>
            </w:r>
          </w:p>
        </w:tc>
        <w:tc>
          <w:tcPr>
            <w:tcW w:w="2054" w:type="pct"/>
            <w:vAlign w:val="center"/>
          </w:tcPr>
          <w:p w14:paraId="7D4EF16F">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低空制造业年度总产值</w:t>
            </w:r>
          </w:p>
        </w:tc>
        <w:tc>
          <w:tcPr>
            <w:tcW w:w="333" w:type="pct"/>
            <w:vAlign w:val="center"/>
          </w:tcPr>
          <w:p w14:paraId="6FBDC74E">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6C0B126E">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亿元</w:t>
            </w:r>
          </w:p>
        </w:tc>
      </w:tr>
      <w:tr w14:paraId="1C34D3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continue"/>
            <w:vAlign w:val="center"/>
          </w:tcPr>
          <w:p w14:paraId="1D175BDF">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p>
        </w:tc>
        <w:tc>
          <w:tcPr>
            <w:tcW w:w="1249" w:type="pct"/>
            <w:shd w:val="clear" w:color="auto" w:fill="auto"/>
            <w:vAlign w:val="center"/>
          </w:tcPr>
          <w:p w14:paraId="760C7AA6">
            <w:pPr>
              <w:keepNext w:val="0"/>
              <w:keepLines w:val="0"/>
              <w:widowControl/>
              <w:suppressLineNumbers w:val="0"/>
              <w:jc w:val="center"/>
              <w:rPr>
                <w:rFonts w:hint="default" w:ascii="Arial" w:hAnsi="Arial" w:eastAsia="Arial" w:cs="Arial"/>
                <w:snapToGrid w:val="0"/>
                <w:color w:val="000000"/>
                <w:kern w:val="0"/>
                <w:sz w:val="21"/>
                <w:szCs w:val="21"/>
                <w:lang w:val="en-US" w:eastAsia="zh-CN" w:bidi="ar-SA"/>
              </w:rPr>
            </w:pPr>
            <w:r>
              <w:rPr>
                <w:rFonts w:ascii="宋体" w:hAnsi="宋体" w:eastAsia="宋体" w:cs="宋体"/>
                <w:snapToGrid w:val="0"/>
                <w:color w:val="000000"/>
                <w:kern w:val="0"/>
                <w:sz w:val="24"/>
                <w:szCs w:val="24"/>
                <w:lang w:val="en-US" w:eastAsia="zh-CN" w:bidi="ar"/>
              </w:rPr>
              <w:t>航空运输就业</w:t>
            </w:r>
            <w:r>
              <w:rPr>
                <w:rFonts w:hint="eastAsia" w:ascii="宋体" w:hAnsi="宋体" w:eastAsia="宋体" w:cs="宋体"/>
                <w:snapToGrid w:val="0"/>
                <w:color w:val="000000"/>
                <w:kern w:val="0"/>
                <w:sz w:val="24"/>
                <w:szCs w:val="24"/>
                <w:lang w:val="en-US" w:eastAsia="zh-CN" w:bidi="ar"/>
              </w:rPr>
              <w:t>容量</w:t>
            </w:r>
          </w:p>
        </w:tc>
        <w:tc>
          <w:tcPr>
            <w:tcW w:w="2054" w:type="pct"/>
            <w:vAlign w:val="center"/>
          </w:tcPr>
          <w:p w14:paraId="60C4C624">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航空运输业从业人员数量</w:t>
            </w:r>
          </w:p>
        </w:tc>
        <w:tc>
          <w:tcPr>
            <w:tcW w:w="333" w:type="pct"/>
            <w:vAlign w:val="center"/>
          </w:tcPr>
          <w:p w14:paraId="6E7B7EAB">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30D3A681">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人</w:t>
            </w:r>
          </w:p>
        </w:tc>
      </w:tr>
      <w:tr w14:paraId="3FC4D3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continue"/>
            <w:vAlign w:val="center"/>
          </w:tcPr>
          <w:p w14:paraId="574C3A8E">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p>
        </w:tc>
        <w:tc>
          <w:tcPr>
            <w:tcW w:w="1249" w:type="pct"/>
            <w:shd w:val="clear" w:color="auto" w:fill="auto"/>
            <w:vAlign w:val="center"/>
          </w:tcPr>
          <w:p w14:paraId="31411E6C">
            <w:pPr>
              <w:keepNext w:val="0"/>
              <w:keepLines w:val="0"/>
              <w:widowControl/>
              <w:suppressLineNumbers w:val="0"/>
              <w:jc w:val="center"/>
              <w:rPr>
                <w:rFonts w:hint="default" w:ascii="Arial" w:hAnsi="Arial" w:eastAsia="Arial" w:cs="Arial"/>
                <w:snapToGrid w:val="0"/>
                <w:color w:val="0000FF"/>
                <w:kern w:val="0"/>
                <w:sz w:val="21"/>
                <w:szCs w:val="21"/>
                <w:lang w:val="en-US" w:eastAsia="zh-CN" w:bidi="ar-SA"/>
              </w:rPr>
            </w:pPr>
            <w:r>
              <w:rPr>
                <w:rFonts w:ascii="宋体" w:hAnsi="宋体" w:eastAsia="宋体" w:cs="宋体"/>
                <w:snapToGrid w:val="0"/>
                <w:color w:val="0000FF"/>
                <w:kern w:val="0"/>
                <w:sz w:val="24"/>
                <w:szCs w:val="24"/>
                <w:lang w:val="en-US" w:eastAsia="zh-CN" w:bidi="ar"/>
              </w:rPr>
              <w:t>市场主体</w:t>
            </w:r>
            <w:r>
              <w:rPr>
                <w:rFonts w:hint="eastAsia" w:ascii="宋体" w:hAnsi="宋体" w:eastAsia="宋体" w:cs="宋体"/>
                <w:snapToGrid w:val="0"/>
                <w:color w:val="0000FF"/>
                <w:kern w:val="0"/>
                <w:sz w:val="24"/>
                <w:szCs w:val="24"/>
                <w:lang w:val="en-US" w:eastAsia="zh-CN" w:bidi="ar"/>
              </w:rPr>
              <w:t>聚集程度</w:t>
            </w:r>
          </w:p>
        </w:tc>
        <w:tc>
          <w:tcPr>
            <w:tcW w:w="2054" w:type="pct"/>
            <w:vAlign w:val="center"/>
          </w:tcPr>
          <w:p w14:paraId="02A44D54">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低空经济注册企业数量</w:t>
            </w:r>
          </w:p>
        </w:tc>
        <w:tc>
          <w:tcPr>
            <w:tcW w:w="333" w:type="pct"/>
            <w:vAlign w:val="center"/>
          </w:tcPr>
          <w:p w14:paraId="636E90F5">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4D83290C">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个</w:t>
            </w:r>
          </w:p>
        </w:tc>
      </w:tr>
      <w:tr w14:paraId="65F591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restart"/>
            <w:vAlign w:val="center"/>
          </w:tcPr>
          <w:p w14:paraId="3E468ABA">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default" w:ascii="Segoe UI Emoji" w:hAnsi="Segoe UI Emoji" w:eastAsia="Segoe UI Emoji" w:cs="Segoe UI Emoji"/>
                <w:i w:val="0"/>
                <w:iCs w:val="0"/>
                <w:caps w:val="0"/>
                <w:spacing w:val="0"/>
                <w:sz w:val="24"/>
                <w:szCs w:val="24"/>
                <w:lang w:val="en-US" w:eastAsia="zh-CN"/>
              </w:rPr>
              <w:t>基础设施</w:t>
            </w:r>
          </w:p>
        </w:tc>
        <w:tc>
          <w:tcPr>
            <w:tcW w:w="1249" w:type="pct"/>
            <w:shd w:val="clear" w:color="auto" w:fill="auto"/>
            <w:vAlign w:val="center"/>
          </w:tcPr>
          <w:p w14:paraId="44FA5D55">
            <w:pPr>
              <w:keepNext w:val="0"/>
              <w:keepLines w:val="0"/>
              <w:widowControl/>
              <w:suppressLineNumbers w:val="0"/>
              <w:jc w:val="center"/>
              <w:rPr>
                <w:rFonts w:ascii="宋体" w:hAnsi="宋体" w:eastAsia="宋体" w:cs="宋体"/>
                <w:snapToGrid w:val="0"/>
                <w:color w:val="000000"/>
                <w:kern w:val="0"/>
                <w:sz w:val="24"/>
                <w:szCs w:val="24"/>
                <w:lang w:val="en-US" w:eastAsia="zh-CN" w:bidi="ar"/>
              </w:rPr>
            </w:pPr>
            <w:r>
              <w:rPr>
                <w:rFonts w:ascii="宋体" w:hAnsi="宋体" w:eastAsia="宋体" w:cs="宋体"/>
                <w:snapToGrid w:val="0"/>
                <w:color w:val="000000"/>
                <w:kern w:val="0"/>
                <w:sz w:val="24"/>
                <w:szCs w:val="24"/>
                <w:lang w:val="en-US" w:eastAsia="zh-CN" w:bidi="ar"/>
              </w:rPr>
              <w:t>低空起降设施</w:t>
            </w:r>
          </w:p>
          <w:p w14:paraId="1980275D">
            <w:pPr>
              <w:keepNext w:val="0"/>
              <w:keepLines w:val="0"/>
              <w:widowControl/>
              <w:suppressLineNumbers w:val="0"/>
              <w:jc w:val="center"/>
              <w:rPr>
                <w:rFonts w:hint="default" w:ascii="Arial" w:hAnsi="Arial" w:eastAsia="Arial" w:cs="Arial"/>
                <w:snapToGrid w:val="0"/>
                <w:color w:val="000000"/>
                <w:kern w:val="0"/>
                <w:sz w:val="21"/>
                <w:szCs w:val="21"/>
                <w:lang w:val="en-US" w:eastAsia="zh-CN" w:bidi="ar-SA"/>
              </w:rPr>
            </w:pPr>
            <w:r>
              <w:rPr>
                <w:rFonts w:ascii="宋体" w:hAnsi="宋体" w:eastAsia="宋体" w:cs="宋体"/>
                <w:snapToGrid w:val="0"/>
                <w:color w:val="000000"/>
                <w:kern w:val="0"/>
                <w:sz w:val="24"/>
                <w:szCs w:val="24"/>
                <w:lang w:val="en-US" w:eastAsia="zh-CN" w:bidi="ar"/>
              </w:rPr>
              <w:t>建设水平</w:t>
            </w:r>
          </w:p>
        </w:tc>
        <w:tc>
          <w:tcPr>
            <w:tcW w:w="2054" w:type="pct"/>
            <w:shd w:val="clear" w:color="auto" w:fill="auto"/>
            <w:vAlign w:val="center"/>
          </w:tcPr>
          <w:p w14:paraId="1D330EE8">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低空交通起降基础设施数量</w:t>
            </w:r>
          </w:p>
        </w:tc>
        <w:tc>
          <w:tcPr>
            <w:tcW w:w="333" w:type="pct"/>
            <w:vAlign w:val="center"/>
          </w:tcPr>
          <w:p w14:paraId="730431AB">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0D68C3D0">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个</w:t>
            </w:r>
          </w:p>
        </w:tc>
      </w:tr>
      <w:tr w14:paraId="47AA1F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continue"/>
            <w:vAlign w:val="center"/>
          </w:tcPr>
          <w:p w14:paraId="683982CD">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p>
        </w:tc>
        <w:tc>
          <w:tcPr>
            <w:tcW w:w="1249" w:type="pct"/>
            <w:shd w:val="clear" w:color="auto" w:fill="auto"/>
            <w:vAlign w:val="center"/>
          </w:tcPr>
          <w:p w14:paraId="7234A4CD">
            <w:pPr>
              <w:keepNext w:val="0"/>
              <w:keepLines w:val="0"/>
              <w:widowControl/>
              <w:suppressLineNumbers w:val="0"/>
              <w:jc w:val="center"/>
              <w:rPr>
                <w:rFonts w:ascii="宋体" w:hAnsi="宋体" w:eastAsia="宋体" w:cs="宋体"/>
                <w:snapToGrid w:val="0"/>
                <w:color w:val="000000"/>
                <w:kern w:val="0"/>
                <w:sz w:val="24"/>
                <w:szCs w:val="24"/>
                <w:lang w:val="en-US" w:eastAsia="zh-CN" w:bidi="ar"/>
              </w:rPr>
            </w:pPr>
            <w:r>
              <w:rPr>
                <w:rFonts w:ascii="宋体" w:hAnsi="宋体" w:eastAsia="宋体" w:cs="宋体"/>
                <w:snapToGrid w:val="0"/>
                <w:color w:val="000000"/>
                <w:kern w:val="0"/>
                <w:sz w:val="24"/>
                <w:szCs w:val="24"/>
                <w:lang w:val="en-US" w:eastAsia="zh-CN" w:bidi="ar"/>
              </w:rPr>
              <w:t>互联网接入</w:t>
            </w:r>
          </w:p>
          <w:p w14:paraId="1A4C8E90">
            <w:pPr>
              <w:keepNext w:val="0"/>
              <w:keepLines w:val="0"/>
              <w:widowControl/>
              <w:suppressLineNumbers w:val="0"/>
              <w:jc w:val="center"/>
              <w:rPr>
                <w:rFonts w:hint="eastAsia" w:ascii="Arial" w:hAnsi="Arial" w:eastAsia="Arial" w:cs="Arial"/>
                <w:snapToGrid w:val="0"/>
                <w:color w:val="000000"/>
                <w:kern w:val="0"/>
                <w:sz w:val="21"/>
                <w:szCs w:val="21"/>
                <w:lang w:val="en-US" w:eastAsia="zh-CN" w:bidi="ar-SA"/>
              </w:rPr>
            </w:pPr>
            <w:r>
              <w:rPr>
                <w:rFonts w:ascii="宋体" w:hAnsi="宋体" w:eastAsia="宋体" w:cs="宋体"/>
                <w:snapToGrid w:val="0"/>
                <w:color w:val="000000"/>
                <w:kern w:val="0"/>
                <w:sz w:val="24"/>
                <w:szCs w:val="24"/>
                <w:lang w:val="en-US" w:eastAsia="zh-CN" w:bidi="ar"/>
              </w:rPr>
              <w:t>支撑水平</w:t>
            </w:r>
          </w:p>
        </w:tc>
        <w:tc>
          <w:tcPr>
            <w:tcW w:w="2054" w:type="pct"/>
            <w:vAlign w:val="center"/>
          </w:tcPr>
          <w:p w14:paraId="568628DA">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互联网宽带接入端口数量</w:t>
            </w:r>
          </w:p>
        </w:tc>
        <w:tc>
          <w:tcPr>
            <w:tcW w:w="333" w:type="pct"/>
            <w:vAlign w:val="center"/>
          </w:tcPr>
          <w:p w14:paraId="0AAF084F">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23218092">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万个</w:t>
            </w:r>
          </w:p>
        </w:tc>
      </w:tr>
      <w:tr w14:paraId="277B35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continue"/>
            <w:vAlign w:val="center"/>
          </w:tcPr>
          <w:p w14:paraId="61AA0C57">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p>
        </w:tc>
        <w:tc>
          <w:tcPr>
            <w:tcW w:w="1249" w:type="pct"/>
            <w:shd w:val="clear" w:color="auto" w:fill="auto"/>
            <w:vAlign w:val="center"/>
          </w:tcPr>
          <w:p w14:paraId="2319F01A">
            <w:pPr>
              <w:keepNext w:val="0"/>
              <w:keepLines w:val="0"/>
              <w:widowControl/>
              <w:suppressLineNumbers w:val="0"/>
              <w:jc w:val="center"/>
              <w:rPr>
                <w:rFonts w:hint="eastAsia" w:ascii="Arial" w:hAnsi="Arial" w:eastAsia="Arial" w:cs="Arial"/>
                <w:snapToGrid w:val="0"/>
                <w:color w:val="0000FF"/>
                <w:kern w:val="0"/>
                <w:sz w:val="21"/>
                <w:szCs w:val="21"/>
                <w:lang w:val="en-US" w:eastAsia="zh-CN" w:bidi="ar-SA"/>
              </w:rPr>
            </w:pPr>
            <w:r>
              <w:rPr>
                <w:rFonts w:ascii="宋体" w:hAnsi="宋体" w:eastAsia="宋体" w:cs="宋体"/>
                <w:snapToGrid w:val="0"/>
                <w:color w:val="0000FF"/>
                <w:kern w:val="0"/>
                <w:sz w:val="24"/>
                <w:szCs w:val="24"/>
                <w:lang w:val="en-US" w:eastAsia="zh-CN" w:bidi="ar"/>
              </w:rPr>
              <w:t>航空机场布局水平</w:t>
            </w:r>
          </w:p>
        </w:tc>
        <w:tc>
          <w:tcPr>
            <w:tcW w:w="2054" w:type="pct"/>
            <w:vAlign w:val="center"/>
          </w:tcPr>
          <w:p w14:paraId="70139502">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民用运输机场数量</w:t>
            </w:r>
          </w:p>
        </w:tc>
        <w:tc>
          <w:tcPr>
            <w:tcW w:w="333" w:type="pct"/>
            <w:vAlign w:val="center"/>
          </w:tcPr>
          <w:p w14:paraId="1D9342B2">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11FC7273">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个/km²</w:t>
            </w:r>
          </w:p>
        </w:tc>
      </w:tr>
      <w:tr w14:paraId="5E1E66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continue"/>
            <w:vAlign w:val="center"/>
          </w:tcPr>
          <w:p w14:paraId="48B3BC81">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p>
        </w:tc>
        <w:tc>
          <w:tcPr>
            <w:tcW w:w="1249" w:type="pct"/>
            <w:shd w:val="clear" w:color="auto" w:fill="auto"/>
            <w:vAlign w:val="center"/>
          </w:tcPr>
          <w:p w14:paraId="5D0E1BE1">
            <w:pPr>
              <w:keepNext w:val="0"/>
              <w:keepLines w:val="0"/>
              <w:widowControl/>
              <w:suppressLineNumbers w:val="0"/>
              <w:jc w:val="center"/>
              <w:rPr>
                <w:rFonts w:hint="eastAsia" w:ascii="Arial" w:hAnsi="Arial" w:eastAsia="Arial" w:cs="Arial"/>
                <w:snapToGrid w:val="0"/>
                <w:color w:val="0000FF"/>
                <w:kern w:val="0"/>
                <w:sz w:val="21"/>
                <w:szCs w:val="21"/>
                <w:lang w:val="en-US" w:eastAsia="zh-CN" w:bidi="ar-SA"/>
              </w:rPr>
            </w:pPr>
            <w:r>
              <w:rPr>
                <w:rFonts w:ascii="宋体" w:hAnsi="宋体" w:eastAsia="宋体" w:cs="宋体"/>
                <w:snapToGrid w:val="0"/>
                <w:color w:val="0000FF"/>
                <w:kern w:val="0"/>
                <w:sz w:val="24"/>
                <w:szCs w:val="24"/>
                <w:lang w:val="en-US" w:eastAsia="zh-CN" w:bidi="ar"/>
              </w:rPr>
              <w:t>航空邮路通达水平</w:t>
            </w:r>
          </w:p>
        </w:tc>
        <w:tc>
          <w:tcPr>
            <w:tcW w:w="2054" w:type="pct"/>
            <w:vAlign w:val="center"/>
          </w:tcPr>
          <w:p w14:paraId="68E6780E">
            <w:pPr>
              <w:widowControl w:val="0"/>
              <w:ind w:left="0" w:leftChars="0" w:firstLine="0" w:firstLineChars="0"/>
              <w:jc w:val="center"/>
              <w:rPr>
                <w:rFonts w:hint="default" w:ascii="Segoe UI Emoji" w:hAnsi="Segoe UI Emoji" w:eastAsia="Segoe UI Emoji" w:cs="Segoe UI Emoji"/>
                <w:i w:val="0"/>
                <w:iCs w:val="0"/>
                <w:caps w:val="0"/>
                <w:color w:val="0000FF"/>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航空邮路总长度</w:t>
            </w:r>
          </w:p>
        </w:tc>
        <w:tc>
          <w:tcPr>
            <w:tcW w:w="333" w:type="pct"/>
            <w:vAlign w:val="center"/>
          </w:tcPr>
          <w:p w14:paraId="5A22327E">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491D6925">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公里</w:t>
            </w:r>
          </w:p>
        </w:tc>
      </w:tr>
      <w:tr w14:paraId="42F24C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restart"/>
            <w:vAlign w:val="center"/>
          </w:tcPr>
          <w:p w14:paraId="1E26C089">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应用需求</w:t>
            </w:r>
          </w:p>
        </w:tc>
        <w:tc>
          <w:tcPr>
            <w:tcW w:w="1249" w:type="pct"/>
            <w:shd w:val="clear" w:color="auto" w:fill="auto"/>
            <w:vAlign w:val="center"/>
          </w:tcPr>
          <w:p w14:paraId="30C90069">
            <w:pPr>
              <w:keepNext w:val="0"/>
              <w:keepLines w:val="0"/>
              <w:widowControl/>
              <w:suppressLineNumbers w:val="0"/>
              <w:jc w:val="center"/>
              <w:rPr>
                <w:rFonts w:hint="eastAsia" w:ascii="Arial" w:hAnsi="Arial" w:eastAsia="Arial" w:cs="Arial"/>
                <w:snapToGrid w:val="0"/>
                <w:color w:val="0000FF"/>
                <w:kern w:val="0"/>
                <w:sz w:val="21"/>
                <w:szCs w:val="21"/>
                <w:lang w:val="en-US" w:eastAsia="zh-CN" w:bidi="ar-SA"/>
              </w:rPr>
            </w:pPr>
            <w:r>
              <w:rPr>
                <w:rFonts w:ascii="宋体" w:hAnsi="宋体" w:eastAsia="宋体" w:cs="宋体"/>
                <w:snapToGrid w:val="0"/>
                <w:color w:val="0000FF"/>
                <w:kern w:val="0"/>
                <w:sz w:val="24"/>
                <w:szCs w:val="24"/>
                <w:lang w:val="en-US" w:eastAsia="zh-CN" w:bidi="ar"/>
              </w:rPr>
              <w:t>航空客运需求水平</w:t>
            </w:r>
          </w:p>
        </w:tc>
        <w:tc>
          <w:tcPr>
            <w:tcW w:w="2054" w:type="pct"/>
            <w:vAlign w:val="center"/>
          </w:tcPr>
          <w:p w14:paraId="5FC41F14">
            <w:pPr>
              <w:widowControl w:val="0"/>
              <w:ind w:left="0" w:leftChars="0" w:firstLine="0" w:firstLineChars="0"/>
              <w:jc w:val="center"/>
              <w:rPr>
                <w:rFonts w:hint="default" w:ascii="Segoe UI Emoji" w:hAnsi="Segoe UI Emoji" w:eastAsia="Segoe UI Emoji" w:cs="Segoe UI Emoji"/>
                <w:i w:val="0"/>
                <w:iCs w:val="0"/>
                <w:caps w:val="0"/>
                <w:color w:val="0000FF"/>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民用机场旅客吞吐量</w:t>
            </w:r>
          </w:p>
        </w:tc>
        <w:tc>
          <w:tcPr>
            <w:tcW w:w="333" w:type="pct"/>
            <w:vAlign w:val="center"/>
          </w:tcPr>
          <w:p w14:paraId="5ECA3500">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3EF4BE5B">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万人</w:t>
            </w:r>
          </w:p>
        </w:tc>
      </w:tr>
      <w:tr w14:paraId="6A133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continue"/>
            <w:vAlign w:val="center"/>
          </w:tcPr>
          <w:p w14:paraId="58411538">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p>
        </w:tc>
        <w:tc>
          <w:tcPr>
            <w:tcW w:w="1249" w:type="pct"/>
            <w:shd w:val="clear" w:color="auto" w:fill="auto"/>
            <w:vAlign w:val="center"/>
          </w:tcPr>
          <w:p w14:paraId="732A4089">
            <w:pPr>
              <w:keepNext w:val="0"/>
              <w:keepLines w:val="0"/>
              <w:widowControl/>
              <w:suppressLineNumbers w:val="0"/>
              <w:jc w:val="center"/>
              <w:rPr>
                <w:rFonts w:hint="eastAsia" w:ascii="Arial" w:hAnsi="Arial" w:eastAsia="Arial" w:cs="Arial"/>
                <w:snapToGrid w:val="0"/>
                <w:color w:val="0000FF"/>
                <w:kern w:val="0"/>
                <w:sz w:val="21"/>
                <w:szCs w:val="21"/>
                <w:lang w:val="en-US" w:eastAsia="zh-CN" w:bidi="ar-SA"/>
              </w:rPr>
            </w:pPr>
            <w:r>
              <w:rPr>
                <w:rFonts w:ascii="宋体" w:hAnsi="宋体" w:eastAsia="宋体" w:cs="宋体"/>
                <w:snapToGrid w:val="0"/>
                <w:color w:val="0000FF"/>
                <w:kern w:val="0"/>
                <w:sz w:val="24"/>
                <w:szCs w:val="24"/>
                <w:lang w:val="en-US" w:eastAsia="zh-CN" w:bidi="ar"/>
              </w:rPr>
              <w:t>航空货运需求水平</w:t>
            </w:r>
          </w:p>
        </w:tc>
        <w:tc>
          <w:tcPr>
            <w:tcW w:w="2054" w:type="pct"/>
            <w:vAlign w:val="center"/>
          </w:tcPr>
          <w:p w14:paraId="2F5D57A6">
            <w:pPr>
              <w:widowControl w:val="0"/>
              <w:ind w:left="0" w:leftChars="0" w:firstLine="0" w:firstLineChars="0"/>
              <w:jc w:val="center"/>
              <w:rPr>
                <w:rFonts w:hint="default" w:ascii="Segoe UI Emoji" w:hAnsi="Segoe UI Emoji" w:eastAsia="Segoe UI Emoji" w:cs="Segoe UI Emoji"/>
                <w:i w:val="0"/>
                <w:iCs w:val="0"/>
                <w:caps w:val="0"/>
                <w:color w:val="0000FF"/>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民用机场年度货邮吞吐量</w:t>
            </w:r>
          </w:p>
        </w:tc>
        <w:tc>
          <w:tcPr>
            <w:tcW w:w="333" w:type="pct"/>
            <w:vAlign w:val="center"/>
          </w:tcPr>
          <w:p w14:paraId="5BB28F2B">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2986FF90">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万吨</w:t>
            </w:r>
          </w:p>
        </w:tc>
      </w:tr>
      <w:tr w14:paraId="46559C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restart"/>
            <w:vAlign w:val="center"/>
          </w:tcPr>
          <w:p w14:paraId="4330476D">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安全监管</w:t>
            </w:r>
          </w:p>
        </w:tc>
        <w:tc>
          <w:tcPr>
            <w:tcW w:w="1249" w:type="pct"/>
            <w:shd w:val="clear" w:color="auto" w:fill="auto"/>
            <w:vAlign w:val="center"/>
          </w:tcPr>
          <w:p w14:paraId="6B63E779">
            <w:pPr>
              <w:keepNext w:val="0"/>
              <w:keepLines w:val="0"/>
              <w:widowControl/>
              <w:suppressLineNumbers w:val="0"/>
              <w:jc w:val="center"/>
              <w:rPr>
                <w:rFonts w:hint="default" w:ascii="Arial" w:hAnsi="Arial" w:eastAsia="Arial" w:cs="Arial"/>
                <w:snapToGrid w:val="0"/>
                <w:color w:val="0000FF"/>
                <w:kern w:val="0"/>
                <w:sz w:val="21"/>
                <w:szCs w:val="21"/>
                <w:lang w:val="en-US" w:eastAsia="zh-CN" w:bidi="ar-SA"/>
              </w:rPr>
            </w:pPr>
            <w:r>
              <w:rPr>
                <w:rFonts w:ascii="宋体" w:hAnsi="宋体" w:eastAsia="宋体" w:cs="宋体"/>
                <w:snapToGrid w:val="0"/>
                <w:color w:val="0000FF"/>
                <w:kern w:val="0"/>
                <w:sz w:val="24"/>
                <w:szCs w:val="24"/>
                <w:lang w:val="en-US" w:eastAsia="zh-CN" w:bidi="ar"/>
              </w:rPr>
              <w:t>低空通信保障</w:t>
            </w:r>
            <w:r>
              <w:rPr>
                <w:rFonts w:hint="eastAsia" w:ascii="宋体" w:hAnsi="宋体" w:eastAsia="宋体" w:cs="宋体"/>
                <w:snapToGrid w:val="0"/>
                <w:color w:val="0000FF"/>
                <w:kern w:val="0"/>
                <w:sz w:val="24"/>
                <w:szCs w:val="24"/>
                <w:lang w:val="en-US" w:eastAsia="zh-CN" w:bidi="ar"/>
              </w:rPr>
              <w:t>力</w:t>
            </w:r>
          </w:p>
        </w:tc>
        <w:tc>
          <w:tcPr>
            <w:tcW w:w="2054" w:type="pct"/>
            <w:vAlign w:val="center"/>
          </w:tcPr>
          <w:p w14:paraId="0D05CADA">
            <w:pPr>
              <w:widowControl w:val="0"/>
              <w:ind w:left="0" w:leftChars="0" w:firstLine="0" w:firstLineChars="0"/>
              <w:jc w:val="center"/>
              <w:rPr>
                <w:rFonts w:hint="eastAsia" w:ascii="宋体" w:hAnsi="宋体" w:eastAsia="宋体" w:cs="宋体"/>
                <w:sz w:val="24"/>
                <w:szCs w:val="24"/>
                <w:lang w:val="en-US" w:eastAsia="zh-CN"/>
              </w:rPr>
            </w:pPr>
            <w:r>
              <w:rPr>
                <w:rFonts w:hint="eastAsia" w:ascii="宋体" w:hAnsi="宋体" w:eastAsia="宋体" w:cs="宋体"/>
                <w:color w:val="0000FF"/>
                <w:sz w:val="24"/>
                <w:szCs w:val="24"/>
                <w:lang w:val="en-US" w:eastAsia="zh-CN"/>
              </w:rPr>
              <w:t>移动电话基站密度</w:t>
            </w:r>
          </w:p>
        </w:tc>
        <w:tc>
          <w:tcPr>
            <w:tcW w:w="333" w:type="pct"/>
            <w:vAlign w:val="center"/>
          </w:tcPr>
          <w:p w14:paraId="1E941DD8">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1FD384DE">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个每平方公里</w:t>
            </w:r>
          </w:p>
        </w:tc>
      </w:tr>
      <w:tr w14:paraId="7FC910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continue"/>
            <w:vAlign w:val="center"/>
          </w:tcPr>
          <w:p w14:paraId="64C77472">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p>
        </w:tc>
        <w:tc>
          <w:tcPr>
            <w:tcW w:w="1249" w:type="pct"/>
            <w:shd w:val="clear" w:color="auto" w:fill="auto"/>
            <w:vAlign w:val="center"/>
          </w:tcPr>
          <w:p w14:paraId="6121B678">
            <w:pPr>
              <w:keepNext w:val="0"/>
              <w:keepLines w:val="0"/>
              <w:widowControl/>
              <w:suppressLineNumbers w:val="0"/>
              <w:jc w:val="center"/>
              <w:rPr>
                <w:rFonts w:hint="default" w:ascii="Arial" w:hAnsi="Arial" w:eastAsia="Arial" w:cs="Arial"/>
                <w:snapToGrid w:val="0"/>
                <w:color w:val="0000FF"/>
                <w:kern w:val="0"/>
                <w:sz w:val="21"/>
                <w:szCs w:val="21"/>
                <w:lang w:val="en-US" w:eastAsia="zh-CN" w:bidi="ar-SA"/>
              </w:rPr>
            </w:pPr>
            <w:r>
              <w:rPr>
                <w:rFonts w:ascii="宋体" w:hAnsi="宋体" w:eastAsia="宋体" w:cs="宋体"/>
                <w:snapToGrid w:val="0"/>
                <w:color w:val="0000FF"/>
                <w:kern w:val="0"/>
                <w:sz w:val="24"/>
                <w:szCs w:val="24"/>
                <w:lang w:val="en-US" w:eastAsia="zh-CN" w:bidi="ar"/>
              </w:rPr>
              <w:t>公共安全</w:t>
            </w:r>
            <w:r>
              <w:rPr>
                <w:rFonts w:hint="eastAsia" w:ascii="宋体" w:hAnsi="宋体" w:eastAsia="宋体" w:cs="宋体"/>
                <w:snapToGrid w:val="0"/>
                <w:color w:val="0000FF"/>
                <w:kern w:val="0"/>
                <w:sz w:val="24"/>
                <w:szCs w:val="24"/>
                <w:lang w:val="en-US" w:eastAsia="zh-CN" w:bidi="ar"/>
              </w:rPr>
              <w:t>投入强度</w:t>
            </w:r>
          </w:p>
        </w:tc>
        <w:tc>
          <w:tcPr>
            <w:tcW w:w="2054" w:type="pct"/>
            <w:vAlign w:val="center"/>
          </w:tcPr>
          <w:p w14:paraId="030C6469">
            <w:pPr>
              <w:widowControl w:val="0"/>
              <w:ind w:left="0" w:leftChars="0" w:firstLine="0" w:firstLineChars="0"/>
              <w:jc w:val="center"/>
              <w:rPr>
                <w:rFonts w:hint="default" w:ascii="Segoe UI Emoji" w:hAnsi="Segoe UI Emoji" w:eastAsia="Segoe UI Emoji" w:cs="Segoe UI Emoji"/>
                <w:i w:val="0"/>
                <w:iCs w:val="0"/>
                <w:caps w:val="0"/>
                <w:color w:val="0000FF"/>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公共安全财政支出</w:t>
            </w:r>
          </w:p>
        </w:tc>
        <w:tc>
          <w:tcPr>
            <w:tcW w:w="333" w:type="pct"/>
            <w:vAlign w:val="center"/>
          </w:tcPr>
          <w:p w14:paraId="448F0270">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060962D6">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亿元</w:t>
            </w:r>
          </w:p>
        </w:tc>
      </w:tr>
      <w:tr w14:paraId="358FF1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restart"/>
            <w:vAlign w:val="center"/>
          </w:tcPr>
          <w:p w14:paraId="480475DF">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default" w:ascii="Segoe UI Emoji" w:hAnsi="Segoe UI Emoji" w:eastAsia="Segoe UI Emoji" w:cs="Segoe UI Emoji"/>
                <w:i w:val="0"/>
                <w:iCs w:val="0"/>
                <w:caps w:val="0"/>
                <w:spacing w:val="0"/>
                <w:sz w:val="24"/>
                <w:szCs w:val="24"/>
                <w:lang w:val="en-US" w:eastAsia="zh-CN"/>
              </w:rPr>
              <w:t>创新能力</w:t>
            </w:r>
          </w:p>
        </w:tc>
        <w:tc>
          <w:tcPr>
            <w:tcW w:w="1249" w:type="pct"/>
            <w:shd w:val="clear" w:color="auto" w:fill="auto"/>
            <w:vAlign w:val="center"/>
          </w:tcPr>
          <w:p w14:paraId="5C90A26C">
            <w:pPr>
              <w:keepNext w:val="0"/>
              <w:keepLines w:val="0"/>
              <w:widowControl/>
              <w:suppressLineNumbers w:val="0"/>
              <w:jc w:val="center"/>
              <w:rPr>
                <w:rFonts w:hint="default" w:ascii="Arial" w:hAnsi="Arial" w:eastAsia="Arial" w:cs="Arial"/>
                <w:snapToGrid w:val="0"/>
                <w:color w:val="000000"/>
                <w:kern w:val="0"/>
                <w:sz w:val="21"/>
                <w:szCs w:val="21"/>
                <w:lang w:val="en-US" w:eastAsia="zh-CN" w:bidi="ar-SA"/>
              </w:rPr>
            </w:pPr>
            <w:r>
              <w:rPr>
                <w:rFonts w:ascii="宋体" w:hAnsi="宋体" w:eastAsia="宋体" w:cs="宋体"/>
                <w:snapToGrid w:val="0"/>
                <w:color w:val="000000"/>
                <w:kern w:val="0"/>
                <w:sz w:val="24"/>
                <w:szCs w:val="24"/>
                <w:lang w:val="en-US" w:eastAsia="zh-CN" w:bidi="ar"/>
              </w:rPr>
              <w:t>科技人才支撑</w:t>
            </w:r>
            <w:r>
              <w:rPr>
                <w:rFonts w:hint="eastAsia" w:ascii="宋体" w:hAnsi="宋体" w:eastAsia="宋体" w:cs="宋体"/>
                <w:snapToGrid w:val="0"/>
                <w:color w:val="000000"/>
                <w:kern w:val="0"/>
                <w:sz w:val="24"/>
                <w:szCs w:val="24"/>
                <w:lang w:val="en-US" w:eastAsia="zh-CN" w:bidi="ar"/>
              </w:rPr>
              <w:t>能力</w:t>
            </w:r>
          </w:p>
        </w:tc>
        <w:tc>
          <w:tcPr>
            <w:tcW w:w="2054" w:type="pct"/>
            <w:vAlign w:val="center"/>
          </w:tcPr>
          <w:p w14:paraId="2ED7B463">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科学研究和技术服务业</w:t>
            </w:r>
          </w:p>
          <w:p w14:paraId="3E3DCE30">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城镇单位就业人员</w:t>
            </w:r>
          </w:p>
        </w:tc>
        <w:tc>
          <w:tcPr>
            <w:tcW w:w="333" w:type="pct"/>
            <w:vAlign w:val="center"/>
          </w:tcPr>
          <w:p w14:paraId="58602565">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2CC8427E">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万人</w:t>
            </w:r>
          </w:p>
        </w:tc>
      </w:tr>
      <w:tr w14:paraId="4BE49C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continue"/>
            <w:vAlign w:val="center"/>
          </w:tcPr>
          <w:p w14:paraId="143AA4B0">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p>
        </w:tc>
        <w:tc>
          <w:tcPr>
            <w:tcW w:w="1249" w:type="pct"/>
            <w:shd w:val="clear" w:color="auto" w:fill="auto"/>
            <w:vAlign w:val="center"/>
          </w:tcPr>
          <w:p w14:paraId="2277D708">
            <w:pPr>
              <w:keepNext w:val="0"/>
              <w:keepLines w:val="0"/>
              <w:widowControl/>
              <w:suppressLineNumbers w:val="0"/>
              <w:jc w:val="center"/>
              <w:rPr>
                <w:rFonts w:hint="default" w:ascii="Arial" w:hAnsi="Arial" w:eastAsia="Arial" w:cs="Arial"/>
                <w:snapToGrid w:val="0"/>
                <w:color w:val="000000"/>
                <w:kern w:val="0"/>
                <w:sz w:val="21"/>
                <w:szCs w:val="21"/>
                <w:lang w:val="en-US" w:eastAsia="zh-CN" w:bidi="ar-SA"/>
              </w:rPr>
            </w:pPr>
            <w:r>
              <w:rPr>
                <w:rFonts w:ascii="宋体" w:hAnsi="宋体" w:eastAsia="宋体" w:cs="宋体"/>
                <w:snapToGrid w:val="0"/>
                <w:color w:val="000000"/>
                <w:kern w:val="0"/>
                <w:sz w:val="24"/>
                <w:szCs w:val="24"/>
                <w:lang w:val="en-US" w:eastAsia="zh-CN" w:bidi="ar"/>
              </w:rPr>
              <w:t>研发经费投入</w:t>
            </w:r>
            <w:r>
              <w:rPr>
                <w:rFonts w:hint="eastAsia" w:ascii="宋体" w:hAnsi="宋体" w:eastAsia="宋体" w:cs="宋体"/>
                <w:snapToGrid w:val="0"/>
                <w:color w:val="000000"/>
                <w:kern w:val="0"/>
                <w:sz w:val="24"/>
                <w:szCs w:val="24"/>
                <w:lang w:val="en-US" w:eastAsia="zh-CN" w:bidi="ar"/>
              </w:rPr>
              <w:t>强度</w:t>
            </w:r>
          </w:p>
        </w:tc>
        <w:tc>
          <w:tcPr>
            <w:tcW w:w="2054" w:type="pct"/>
            <w:vAlign w:val="center"/>
          </w:tcPr>
          <w:p w14:paraId="04570668">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规模以上工业企业R&amp;D经费</w:t>
            </w:r>
          </w:p>
        </w:tc>
        <w:tc>
          <w:tcPr>
            <w:tcW w:w="333" w:type="pct"/>
            <w:vAlign w:val="center"/>
          </w:tcPr>
          <w:p w14:paraId="3CAC399F">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377580A8">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万元</w:t>
            </w:r>
          </w:p>
        </w:tc>
      </w:tr>
      <w:tr w14:paraId="6DF3EE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Merge w:val="continue"/>
            <w:vAlign w:val="center"/>
          </w:tcPr>
          <w:p w14:paraId="7A094C56">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p>
        </w:tc>
        <w:tc>
          <w:tcPr>
            <w:tcW w:w="1249" w:type="pct"/>
            <w:shd w:val="clear" w:color="auto" w:fill="auto"/>
            <w:vAlign w:val="center"/>
          </w:tcPr>
          <w:p w14:paraId="2136E9FB">
            <w:pPr>
              <w:keepNext w:val="0"/>
              <w:keepLines w:val="0"/>
              <w:widowControl/>
              <w:suppressLineNumbers w:val="0"/>
              <w:jc w:val="center"/>
              <w:rPr>
                <w:rFonts w:hint="default" w:ascii="Arial" w:hAnsi="Arial" w:eastAsia="Arial" w:cs="Arial"/>
                <w:snapToGrid w:val="0"/>
                <w:color w:val="000000"/>
                <w:kern w:val="0"/>
                <w:sz w:val="21"/>
                <w:szCs w:val="21"/>
                <w:lang w:val="en-US" w:eastAsia="zh-CN" w:bidi="ar-SA"/>
              </w:rPr>
            </w:pPr>
            <w:r>
              <w:rPr>
                <w:rFonts w:hint="eastAsia" w:ascii="宋体" w:hAnsi="宋体" w:eastAsia="宋体" w:cs="宋体"/>
                <w:snapToGrid w:val="0"/>
                <w:color w:val="0000FF"/>
                <w:kern w:val="0"/>
                <w:sz w:val="24"/>
                <w:szCs w:val="24"/>
                <w:lang w:val="en-US" w:eastAsia="zh-CN" w:bidi="ar"/>
              </w:rPr>
              <w:t>专利</w:t>
            </w:r>
            <w:r>
              <w:rPr>
                <w:rFonts w:ascii="宋体" w:hAnsi="宋体" w:eastAsia="宋体" w:cs="宋体"/>
                <w:snapToGrid w:val="0"/>
                <w:color w:val="0000FF"/>
                <w:kern w:val="0"/>
                <w:sz w:val="24"/>
                <w:szCs w:val="24"/>
                <w:lang w:val="en-US" w:eastAsia="zh-CN" w:bidi="ar"/>
              </w:rPr>
              <w:t>成果转化</w:t>
            </w:r>
            <w:r>
              <w:rPr>
                <w:rFonts w:hint="eastAsia" w:ascii="宋体" w:hAnsi="宋体" w:eastAsia="宋体" w:cs="宋体"/>
                <w:snapToGrid w:val="0"/>
                <w:color w:val="0000FF"/>
                <w:kern w:val="0"/>
                <w:sz w:val="24"/>
                <w:szCs w:val="24"/>
                <w:lang w:val="en-US" w:eastAsia="zh-CN" w:bidi="ar"/>
              </w:rPr>
              <w:t>度</w:t>
            </w:r>
          </w:p>
        </w:tc>
        <w:tc>
          <w:tcPr>
            <w:tcW w:w="2054" w:type="pct"/>
            <w:vAlign w:val="center"/>
          </w:tcPr>
          <w:p w14:paraId="65A24005">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高技术产业有效发明专利数</w:t>
            </w:r>
          </w:p>
        </w:tc>
        <w:tc>
          <w:tcPr>
            <w:tcW w:w="333" w:type="pct"/>
            <w:vAlign w:val="center"/>
          </w:tcPr>
          <w:p w14:paraId="37F90A79">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59D6F8F8">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个</w:t>
            </w:r>
          </w:p>
        </w:tc>
      </w:tr>
      <w:tr w14:paraId="14AD77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19" w:type="pct"/>
            <w:vAlign w:val="center"/>
          </w:tcPr>
          <w:p w14:paraId="776CEE4E">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政策环境</w:t>
            </w:r>
          </w:p>
        </w:tc>
        <w:tc>
          <w:tcPr>
            <w:tcW w:w="1249" w:type="pct"/>
            <w:shd w:val="clear" w:color="auto" w:fill="auto"/>
            <w:vAlign w:val="center"/>
          </w:tcPr>
          <w:p w14:paraId="53E931F9">
            <w:pPr>
              <w:keepNext w:val="0"/>
              <w:keepLines w:val="0"/>
              <w:widowControl/>
              <w:suppressLineNumbers w:val="0"/>
              <w:jc w:val="center"/>
              <w:rPr>
                <w:rFonts w:hint="eastAsia" w:ascii="Arial" w:hAnsi="Arial" w:eastAsia="Arial" w:cs="Arial"/>
                <w:snapToGrid w:val="0"/>
                <w:color w:val="0000FF"/>
                <w:kern w:val="0"/>
                <w:sz w:val="21"/>
                <w:szCs w:val="21"/>
                <w:lang w:val="en-US" w:eastAsia="zh-CN" w:bidi="ar-SA"/>
              </w:rPr>
            </w:pPr>
            <w:r>
              <w:rPr>
                <w:rFonts w:ascii="宋体" w:hAnsi="宋体" w:eastAsia="宋体" w:cs="宋体"/>
                <w:snapToGrid w:val="0"/>
                <w:color w:val="0000FF"/>
                <w:kern w:val="0"/>
                <w:sz w:val="24"/>
                <w:szCs w:val="24"/>
                <w:lang w:val="en-US" w:eastAsia="zh-CN" w:bidi="ar"/>
              </w:rPr>
              <w:t>低空政策支持水平</w:t>
            </w:r>
          </w:p>
        </w:tc>
        <w:tc>
          <w:tcPr>
            <w:tcW w:w="2054" w:type="pct"/>
            <w:vAlign w:val="center"/>
          </w:tcPr>
          <w:p w14:paraId="3C062A45">
            <w:pPr>
              <w:widowControl w:val="0"/>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低空经济政策数量</w:t>
            </w:r>
          </w:p>
        </w:tc>
        <w:tc>
          <w:tcPr>
            <w:tcW w:w="333" w:type="pct"/>
            <w:vAlign w:val="center"/>
          </w:tcPr>
          <w:p w14:paraId="573B9A5A">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943" w:type="pct"/>
            <w:vAlign w:val="center"/>
          </w:tcPr>
          <w:p w14:paraId="75C7799D">
            <w:pPr>
              <w:widowControl w:val="0"/>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个</w:t>
            </w:r>
          </w:p>
        </w:tc>
      </w:tr>
    </w:tbl>
    <w:p w14:paraId="2CFC585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jc w:val="center"/>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绿色交通指标体系</w:t>
      </w:r>
    </w:p>
    <w:tbl>
      <w:tblPr>
        <w:tblStyle w:val="3"/>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6"/>
        <w:gridCol w:w="2450"/>
        <w:gridCol w:w="3694"/>
        <w:gridCol w:w="581"/>
        <w:gridCol w:w="1314"/>
      </w:tblGrid>
      <w:tr w14:paraId="2985BD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tcBorders>
              <w:left w:val="single" w:color="CCCCCC" w:sz="4" w:space="0"/>
              <w:bottom w:val="single" w:color="auto" w:sz="8" w:space="0"/>
              <w:right w:val="single" w:color="CCCCCC" w:sz="4" w:space="0"/>
            </w:tcBorders>
            <w:shd w:val="clear" w:color="auto" w:fill="auto"/>
            <w:noWrap/>
            <w:vAlign w:val="center"/>
          </w:tcPr>
          <w:p w14:paraId="2C08B238">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一级指标</w:t>
            </w:r>
          </w:p>
        </w:tc>
        <w:tc>
          <w:tcPr>
            <w:tcW w:w="1388" w:type="pct"/>
            <w:tcBorders>
              <w:left w:val="single" w:color="CCCCCC" w:sz="4" w:space="0"/>
              <w:bottom w:val="single" w:color="auto" w:sz="8" w:space="0"/>
              <w:right w:val="single" w:color="CCCCCC" w:sz="4" w:space="0"/>
            </w:tcBorders>
            <w:shd w:val="clear" w:color="auto" w:fill="auto"/>
            <w:noWrap/>
            <w:vAlign w:val="center"/>
          </w:tcPr>
          <w:p w14:paraId="3DC3CE9C">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二级指标</w:t>
            </w:r>
          </w:p>
        </w:tc>
        <w:tc>
          <w:tcPr>
            <w:tcW w:w="2092" w:type="pct"/>
            <w:tcBorders>
              <w:left w:val="single" w:color="CCCCCC" w:sz="4" w:space="0"/>
              <w:bottom w:val="single" w:color="auto" w:sz="8" w:space="0"/>
              <w:right w:val="single" w:color="CCCCCC" w:sz="4" w:space="0"/>
            </w:tcBorders>
            <w:shd w:val="clear" w:color="auto" w:fill="auto"/>
            <w:noWrap/>
            <w:vAlign w:val="center"/>
          </w:tcPr>
          <w:p w14:paraId="31272533">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指标的定义</w:t>
            </w:r>
          </w:p>
        </w:tc>
        <w:tc>
          <w:tcPr>
            <w:tcW w:w="329" w:type="pct"/>
            <w:tcBorders>
              <w:left w:val="single" w:color="CCCCCC" w:sz="4" w:space="0"/>
              <w:bottom w:val="single" w:color="auto" w:sz="8" w:space="0"/>
              <w:right w:val="single" w:color="CCCCCC" w:sz="4" w:space="0"/>
            </w:tcBorders>
            <w:shd w:val="clear" w:color="auto" w:fill="auto"/>
            <w:noWrap/>
            <w:vAlign w:val="center"/>
          </w:tcPr>
          <w:p w14:paraId="0B6725CB">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属性</w:t>
            </w:r>
          </w:p>
        </w:tc>
        <w:tc>
          <w:tcPr>
            <w:tcW w:w="744" w:type="pct"/>
            <w:tcBorders>
              <w:left w:val="single" w:color="CCCCCC" w:sz="4" w:space="0"/>
              <w:bottom w:val="single" w:color="auto" w:sz="8" w:space="0"/>
              <w:right w:val="single" w:color="CCCCCC" w:sz="4" w:space="0"/>
            </w:tcBorders>
            <w:shd w:val="clear" w:color="auto" w:fill="auto"/>
            <w:noWrap/>
            <w:vAlign w:val="center"/>
          </w:tcPr>
          <w:p w14:paraId="29165A63">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单位</w:t>
            </w:r>
          </w:p>
        </w:tc>
      </w:tr>
      <w:tr w14:paraId="08F9C4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restart"/>
            <w:tcBorders>
              <w:top w:val="single" w:color="auto" w:sz="8" w:space="0"/>
              <w:left w:val="single" w:color="CCCCCC" w:sz="4" w:space="0"/>
              <w:bottom w:val="nil"/>
              <w:right w:val="single" w:color="CCCCCC" w:sz="4" w:space="0"/>
            </w:tcBorders>
            <w:shd w:val="clear" w:color="auto" w:fill="auto"/>
            <w:noWrap/>
            <w:vAlign w:val="center"/>
          </w:tcPr>
          <w:p w14:paraId="3B0FA0F6">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绿色交通供给能力</w:t>
            </w:r>
          </w:p>
        </w:tc>
        <w:tc>
          <w:tcPr>
            <w:tcW w:w="1388" w:type="pct"/>
            <w:tcBorders>
              <w:top w:val="single" w:color="auto" w:sz="8" w:space="0"/>
              <w:left w:val="single" w:color="CCCCCC" w:sz="4" w:space="0"/>
              <w:bottom w:val="single" w:color="CCCCCC" w:sz="4" w:space="0"/>
              <w:right w:val="single" w:color="CCCCCC" w:sz="4" w:space="0"/>
            </w:tcBorders>
            <w:shd w:val="clear" w:color="auto" w:fill="auto"/>
            <w:noWrap/>
            <w:vAlign w:val="center"/>
          </w:tcPr>
          <w:p w14:paraId="046FDB54">
            <w:pPr>
              <w:keepNext w:val="0"/>
              <w:keepLines w:val="0"/>
              <w:widowControl/>
              <w:suppressLineNumbers w:val="0"/>
              <w:jc w:val="center"/>
              <w:rPr>
                <w:rFonts w:hint="eastAsia" w:ascii="Arial" w:hAnsi="Arial" w:eastAsia="Arial" w:cs="Arial"/>
                <w:snapToGrid w:val="0"/>
                <w:color w:val="000000"/>
                <w:kern w:val="0"/>
                <w:sz w:val="21"/>
                <w:szCs w:val="21"/>
                <w:lang w:val="en-US" w:eastAsia="zh-CN" w:bidi="ar-SA"/>
              </w:rPr>
            </w:pPr>
            <w:r>
              <w:rPr>
                <w:rFonts w:ascii="宋体" w:hAnsi="宋体" w:eastAsia="宋体" w:cs="宋体"/>
                <w:snapToGrid w:val="0"/>
                <w:color w:val="000000"/>
                <w:kern w:val="0"/>
                <w:sz w:val="24"/>
                <w:szCs w:val="24"/>
                <w:lang w:val="en-US" w:eastAsia="zh-CN" w:bidi="ar"/>
              </w:rPr>
              <w:t>道路网络覆盖水平</w:t>
            </w:r>
          </w:p>
        </w:tc>
        <w:tc>
          <w:tcPr>
            <w:tcW w:w="2092" w:type="pct"/>
            <w:tcBorders>
              <w:top w:val="single" w:color="auto" w:sz="8" w:space="0"/>
              <w:left w:val="single" w:color="CCCCCC" w:sz="4" w:space="0"/>
              <w:bottom w:val="single" w:color="CCCCCC" w:sz="4" w:space="0"/>
              <w:right w:val="single" w:color="CCCCCC" w:sz="4" w:space="0"/>
            </w:tcBorders>
            <w:shd w:val="clear" w:color="auto" w:fill="auto"/>
            <w:noWrap/>
            <w:vAlign w:val="center"/>
          </w:tcPr>
          <w:p w14:paraId="67F842FC">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道路网密度</w:t>
            </w:r>
          </w:p>
        </w:tc>
        <w:tc>
          <w:tcPr>
            <w:tcW w:w="329" w:type="pct"/>
            <w:tcBorders>
              <w:top w:val="single" w:color="auto" w:sz="8" w:space="0"/>
              <w:left w:val="single" w:color="CCCCCC" w:sz="4" w:space="0"/>
              <w:bottom w:val="single" w:color="CCCCCC" w:sz="4" w:space="0"/>
              <w:right w:val="single" w:color="CCCCCC" w:sz="4" w:space="0"/>
            </w:tcBorders>
            <w:shd w:val="clear" w:color="auto" w:fill="auto"/>
            <w:noWrap/>
            <w:vAlign w:val="center"/>
          </w:tcPr>
          <w:p w14:paraId="5AEA8199">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auto" w:sz="8" w:space="0"/>
              <w:left w:val="single" w:color="CCCCCC" w:sz="4" w:space="0"/>
              <w:bottom w:val="single" w:color="CCCCCC" w:sz="4" w:space="0"/>
              <w:right w:val="single" w:color="CCCCCC" w:sz="4" w:space="0"/>
            </w:tcBorders>
            <w:shd w:val="clear" w:color="auto" w:fill="auto"/>
            <w:noWrap/>
            <w:vAlign w:val="center"/>
          </w:tcPr>
          <w:p w14:paraId="22C5F8E4">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km/百km²</w:t>
            </w:r>
          </w:p>
        </w:tc>
      </w:tr>
      <w:tr w14:paraId="5DD431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15B0AF0F">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98431E0">
            <w:pPr>
              <w:keepNext w:val="0"/>
              <w:keepLines w:val="0"/>
              <w:widowControl/>
              <w:suppressLineNumbers w:val="0"/>
              <w:jc w:val="center"/>
              <w:rPr>
                <w:rFonts w:hint="default" w:ascii="Arial" w:hAnsi="Arial" w:eastAsia="Arial" w:cs="Arial"/>
                <w:snapToGrid w:val="0"/>
                <w:color w:val="000000"/>
                <w:kern w:val="0"/>
                <w:sz w:val="21"/>
                <w:szCs w:val="21"/>
                <w:lang w:val="en-US" w:eastAsia="en-US" w:bidi="ar-SA"/>
              </w:rPr>
            </w:pPr>
            <w:r>
              <w:rPr>
                <w:rFonts w:ascii="宋体" w:hAnsi="宋体" w:eastAsia="宋体" w:cs="宋体"/>
                <w:snapToGrid w:val="0"/>
                <w:color w:val="000000"/>
                <w:kern w:val="0"/>
                <w:sz w:val="24"/>
                <w:szCs w:val="24"/>
                <w:lang w:val="en-US" w:eastAsia="zh-CN" w:bidi="ar"/>
              </w:rPr>
              <w:t>公交运力配置</w:t>
            </w:r>
            <w:r>
              <w:rPr>
                <w:rFonts w:hint="eastAsia" w:ascii="宋体" w:hAnsi="宋体" w:eastAsia="宋体" w:cs="宋体"/>
                <w:snapToGrid w:val="0"/>
                <w:color w:val="000000"/>
                <w:kern w:val="0"/>
                <w:sz w:val="24"/>
                <w:szCs w:val="24"/>
                <w:lang w:val="en-US" w:eastAsia="zh-CN" w:bidi="ar"/>
              </w:rPr>
              <w:t>能力</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C20C678">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万人公交车标台数</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49D2146">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E80DE53">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标台/万人</w:t>
            </w:r>
          </w:p>
        </w:tc>
      </w:tr>
      <w:tr w14:paraId="2E622C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57004367">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64C8C659">
            <w:pPr>
              <w:keepNext w:val="0"/>
              <w:keepLines w:val="0"/>
              <w:widowControl/>
              <w:suppressLineNumbers w:val="0"/>
              <w:jc w:val="center"/>
              <w:rPr>
                <w:rFonts w:hint="default" w:ascii="Arial" w:hAnsi="Arial" w:eastAsia="Arial" w:cs="Arial"/>
                <w:snapToGrid w:val="0"/>
                <w:color w:val="000000"/>
                <w:kern w:val="0"/>
                <w:sz w:val="21"/>
                <w:szCs w:val="21"/>
                <w:lang w:val="en-US" w:eastAsia="en-US" w:bidi="ar-SA"/>
              </w:rPr>
            </w:pPr>
            <w:r>
              <w:rPr>
                <w:rFonts w:ascii="宋体" w:hAnsi="宋体" w:eastAsia="宋体" w:cs="宋体"/>
                <w:snapToGrid w:val="0"/>
                <w:color w:val="0000FF"/>
                <w:kern w:val="0"/>
                <w:sz w:val="24"/>
                <w:szCs w:val="24"/>
                <w:lang w:val="en-US" w:eastAsia="zh-CN" w:bidi="ar"/>
              </w:rPr>
              <w:t>公交站点</w:t>
            </w:r>
            <w:r>
              <w:rPr>
                <w:rFonts w:hint="eastAsia" w:ascii="宋体" w:hAnsi="宋体" w:eastAsia="宋体" w:cs="宋体"/>
                <w:snapToGrid w:val="0"/>
                <w:color w:val="0000FF"/>
                <w:kern w:val="0"/>
                <w:sz w:val="24"/>
                <w:szCs w:val="24"/>
                <w:lang w:val="en-US" w:eastAsia="zh-CN" w:bidi="ar"/>
              </w:rPr>
              <w:t>覆盖率</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7646B40B">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公交站点500m覆盖率</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D800E6F">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6674A279">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w:t>
            </w:r>
          </w:p>
        </w:tc>
      </w:tr>
      <w:tr w14:paraId="040A8D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1F49DCBA">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E2D5983">
            <w:pPr>
              <w:keepNext w:val="0"/>
              <w:keepLines w:val="0"/>
              <w:widowControl/>
              <w:suppressLineNumbers w:val="0"/>
              <w:jc w:val="center"/>
              <w:rPr>
                <w:rFonts w:hint="default" w:ascii="Arial" w:hAnsi="Arial"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充电设施保有量</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D0D4FCA">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新能源充电桩数量</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CDEDD84">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744704A1">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个</w:t>
            </w:r>
          </w:p>
        </w:tc>
      </w:tr>
      <w:tr w14:paraId="42F0E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791085CD">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E6D2379">
            <w:pPr>
              <w:keepNext w:val="0"/>
              <w:keepLines w:val="0"/>
              <w:widowControl/>
              <w:suppressLineNumbers w:val="0"/>
              <w:jc w:val="center"/>
              <w:rPr>
                <w:rFonts w:hint="eastAsia" w:ascii="Arial" w:hAnsi="Arial" w:eastAsia="Arial" w:cs="Arial"/>
                <w:snapToGrid w:val="0"/>
                <w:color w:val="000000"/>
                <w:kern w:val="0"/>
                <w:sz w:val="21"/>
                <w:szCs w:val="21"/>
                <w:lang w:val="en-US" w:eastAsia="en-US" w:bidi="ar-SA"/>
              </w:rPr>
            </w:pPr>
            <w:r>
              <w:rPr>
                <w:rFonts w:ascii="宋体" w:hAnsi="宋体" w:eastAsia="宋体" w:cs="宋体"/>
                <w:snapToGrid w:val="0"/>
                <w:color w:val="000000"/>
                <w:kern w:val="0"/>
                <w:sz w:val="24"/>
                <w:szCs w:val="24"/>
                <w:lang w:val="en-US" w:eastAsia="zh-CN" w:bidi="ar"/>
              </w:rPr>
              <w:t>道路资源供给水平</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900A4E7">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人均道路面积</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8882D3F">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4E1F7615">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m²/人</w:t>
            </w:r>
          </w:p>
        </w:tc>
      </w:tr>
      <w:tr w14:paraId="6B48D9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vMerge w:val="restart"/>
            <w:tcBorders>
              <w:top w:val="nil"/>
              <w:left w:val="single" w:color="CCCCCC" w:sz="4" w:space="0"/>
              <w:bottom w:val="nil"/>
              <w:right w:val="single" w:color="CCCCCC" w:sz="4" w:space="0"/>
            </w:tcBorders>
            <w:shd w:val="clear" w:color="auto" w:fill="auto"/>
            <w:noWrap/>
            <w:vAlign w:val="center"/>
          </w:tcPr>
          <w:p w14:paraId="5F377EAE">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绿色交通需求特征</w:t>
            </w: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749B749">
            <w:pPr>
              <w:keepNext w:val="0"/>
              <w:keepLines w:val="0"/>
              <w:widowControl/>
              <w:suppressLineNumbers w:val="0"/>
              <w:jc w:val="center"/>
              <w:rPr>
                <w:rFonts w:hint="default" w:ascii="Arial" w:hAnsi="Arial" w:eastAsia="Arial" w:cs="Arial"/>
                <w:snapToGrid w:val="0"/>
                <w:color w:val="000000"/>
                <w:kern w:val="0"/>
                <w:sz w:val="21"/>
                <w:szCs w:val="21"/>
                <w:lang w:val="en-US" w:eastAsia="zh-CN" w:bidi="ar-SA"/>
              </w:rPr>
            </w:pPr>
            <w:r>
              <w:rPr>
                <w:rFonts w:ascii="宋体" w:hAnsi="宋体" w:eastAsia="宋体" w:cs="宋体"/>
                <w:snapToGrid w:val="0"/>
                <w:color w:val="000000"/>
                <w:kern w:val="0"/>
                <w:sz w:val="24"/>
                <w:szCs w:val="24"/>
                <w:lang w:val="en-US" w:eastAsia="zh-CN" w:bidi="ar"/>
              </w:rPr>
              <w:t>绿色出行</w:t>
            </w:r>
            <w:r>
              <w:rPr>
                <w:rFonts w:hint="eastAsia" w:ascii="宋体" w:hAnsi="宋体" w:eastAsia="宋体" w:cs="宋体"/>
                <w:snapToGrid w:val="0"/>
                <w:color w:val="000000"/>
                <w:kern w:val="0"/>
                <w:sz w:val="24"/>
                <w:szCs w:val="24"/>
                <w:lang w:val="en-US" w:eastAsia="zh-CN" w:bidi="ar"/>
              </w:rPr>
              <w:t>分担率</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4F4E80EC">
            <w:pPr>
              <w:ind w:left="0" w:leftChars="0" w:firstLine="0" w:firstLineChars="0"/>
              <w:jc w:val="center"/>
              <w:rPr>
                <w:rFonts w:hint="default" w:ascii="Segoe UI Emoji" w:hAnsi="Segoe UI Emoji" w:eastAsia="Segoe UI Emoji" w:cs="Segoe UI Emoji"/>
                <w:i w:val="0"/>
                <w:iCs w:val="0"/>
                <w:caps w:val="0"/>
                <w:spacing w:val="0"/>
                <w:sz w:val="24"/>
                <w:szCs w:val="24"/>
                <w:lang w:val="en-US"/>
              </w:rPr>
            </w:pPr>
            <w:r>
              <w:rPr>
                <w:rFonts w:ascii="宋体" w:hAnsi="宋体" w:eastAsia="宋体" w:cs="宋体"/>
                <w:sz w:val="24"/>
                <w:szCs w:val="24"/>
              </w:rPr>
              <w:t>绿色交通方式在总出行中的占比</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7AC33789">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345676E">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w:t>
            </w:r>
          </w:p>
        </w:tc>
      </w:tr>
      <w:tr w14:paraId="2048E5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365795BF">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7BE83606">
            <w:pPr>
              <w:keepNext w:val="0"/>
              <w:keepLines w:val="0"/>
              <w:widowControl/>
              <w:suppressLineNumbers w:val="0"/>
              <w:jc w:val="center"/>
              <w:rPr>
                <w:rFonts w:hint="eastAsia" w:ascii="Arial" w:hAnsi="Arial" w:eastAsia="Arial" w:cs="Arial"/>
                <w:snapToGrid w:val="0"/>
                <w:color w:val="000000"/>
                <w:kern w:val="0"/>
                <w:sz w:val="21"/>
                <w:szCs w:val="21"/>
                <w:lang w:val="en-US" w:eastAsia="en-US" w:bidi="ar-SA"/>
              </w:rPr>
            </w:pPr>
            <w:r>
              <w:rPr>
                <w:rFonts w:ascii="宋体" w:hAnsi="宋体" w:eastAsia="宋体" w:cs="宋体"/>
                <w:sz w:val="24"/>
                <w:szCs w:val="24"/>
              </w:rPr>
              <w:t>私家车保有量</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590B886">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ascii="宋体" w:hAnsi="宋体" w:eastAsia="宋体" w:cs="宋体"/>
                <w:sz w:val="24"/>
                <w:szCs w:val="24"/>
              </w:rPr>
              <w:t>民用私家车总数量</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6A541C7F">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负</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99360E1">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万辆</w:t>
            </w:r>
          </w:p>
        </w:tc>
      </w:tr>
      <w:tr w14:paraId="3A2302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7AB8C561">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320F3B0B">
            <w:pPr>
              <w:keepNext w:val="0"/>
              <w:keepLines w:val="0"/>
              <w:widowControl/>
              <w:suppressLineNumbers w:val="0"/>
              <w:jc w:val="center"/>
              <w:rPr>
                <w:rFonts w:hint="eastAsia" w:ascii="Arial" w:hAnsi="Arial" w:eastAsia="Arial" w:cs="Arial"/>
                <w:snapToGrid w:val="0"/>
                <w:color w:val="000000"/>
                <w:kern w:val="0"/>
                <w:sz w:val="21"/>
                <w:szCs w:val="21"/>
                <w:lang w:val="en-US" w:eastAsia="en-US" w:bidi="ar-SA"/>
              </w:rPr>
            </w:pPr>
            <w:r>
              <w:rPr>
                <w:rFonts w:ascii="宋体" w:hAnsi="宋体" w:eastAsia="宋体" w:cs="宋体"/>
                <w:sz w:val="24"/>
                <w:szCs w:val="24"/>
              </w:rPr>
              <w:t>城镇化发展率</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C1C973A">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ascii="宋体" w:hAnsi="宋体" w:eastAsia="宋体" w:cs="宋体"/>
                <w:sz w:val="24"/>
                <w:szCs w:val="24"/>
              </w:rPr>
              <w:t>区域常住人口城镇化水平</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CD3EC3B">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94D8D6B">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w:t>
            </w:r>
          </w:p>
        </w:tc>
      </w:tr>
      <w:tr w14:paraId="2616CF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32B1BA57">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372083A3">
            <w:pPr>
              <w:keepNext w:val="0"/>
              <w:keepLines w:val="0"/>
              <w:widowControl/>
              <w:suppressLineNumbers w:val="0"/>
              <w:jc w:val="center"/>
              <w:rPr>
                <w:rFonts w:hint="default" w:ascii="Arial" w:hAnsi="Arial" w:eastAsia="Arial" w:cs="Arial"/>
                <w:snapToGrid w:val="0"/>
                <w:color w:val="000000"/>
                <w:kern w:val="0"/>
                <w:sz w:val="21"/>
                <w:szCs w:val="21"/>
                <w:lang w:val="en-US" w:eastAsia="en-US" w:bidi="ar-SA"/>
              </w:rPr>
            </w:pPr>
            <w:r>
              <w:rPr>
                <w:rFonts w:ascii="宋体" w:hAnsi="宋体" w:eastAsia="宋体" w:cs="宋体"/>
                <w:snapToGrid w:val="0"/>
                <w:color w:val="000000"/>
                <w:kern w:val="0"/>
                <w:sz w:val="24"/>
                <w:szCs w:val="24"/>
                <w:lang w:val="en-US" w:eastAsia="zh-CN" w:bidi="ar"/>
              </w:rPr>
              <w:t>人口集聚</w:t>
            </w:r>
            <w:r>
              <w:rPr>
                <w:rFonts w:hint="eastAsia" w:ascii="宋体" w:hAnsi="宋体" w:eastAsia="宋体" w:cs="宋体"/>
                <w:snapToGrid w:val="0"/>
                <w:color w:val="000000"/>
                <w:kern w:val="0"/>
                <w:sz w:val="24"/>
                <w:szCs w:val="24"/>
                <w:lang w:val="en-US" w:eastAsia="zh-CN" w:bidi="ar"/>
              </w:rPr>
              <w:t>密度</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344AD8E">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ascii="宋体" w:hAnsi="宋体" w:eastAsia="宋体" w:cs="宋体"/>
                <w:sz w:val="24"/>
                <w:szCs w:val="24"/>
              </w:rPr>
              <w:t>单位面积常住人口数量</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3B99186">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7C8F96DA">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人/km²</w:t>
            </w:r>
          </w:p>
        </w:tc>
      </w:tr>
      <w:tr w14:paraId="048DAF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7D5D754B">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30672563">
            <w:pPr>
              <w:keepNext w:val="0"/>
              <w:keepLines w:val="0"/>
              <w:widowControl/>
              <w:suppressLineNumbers w:val="0"/>
              <w:jc w:val="center"/>
              <w:rPr>
                <w:rFonts w:hint="eastAsia" w:ascii="Arial" w:hAnsi="Arial" w:eastAsia="Arial" w:cs="Arial"/>
                <w:snapToGrid w:val="0"/>
                <w:color w:val="000000"/>
                <w:kern w:val="0"/>
                <w:sz w:val="21"/>
                <w:szCs w:val="21"/>
                <w:lang w:val="en-US" w:eastAsia="en-US" w:bidi="ar-SA"/>
              </w:rPr>
            </w:pPr>
            <w:r>
              <w:rPr>
                <w:rFonts w:ascii="宋体" w:hAnsi="宋体" w:eastAsia="宋体" w:cs="宋体"/>
                <w:sz w:val="24"/>
                <w:szCs w:val="24"/>
              </w:rPr>
              <w:t>人均经济产出</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8998467">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ascii="宋体" w:hAnsi="宋体" w:eastAsia="宋体" w:cs="宋体"/>
                <w:sz w:val="24"/>
                <w:szCs w:val="24"/>
              </w:rPr>
              <w:t>年度人均GDP水平</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34F1E6B">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8750A1F">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元</w:t>
            </w:r>
          </w:p>
        </w:tc>
      </w:tr>
      <w:tr w14:paraId="48C778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restart"/>
            <w:tcBorders>
              <w:top w:val="nil"/>
              <w:left w:val="single" w:color="CCCCCC" w:sz="4" w:space="0"/>
              <w:bottom w:val="nil"/>
              <w:right w:val="single" w:color="CCCCCC" w:sz="4" w:space="0"/>
            </w:tcBorders>
            <w:shd w:val="clear" w:color="auto" w:fill="auto"/>
            <w:noWrap/>
            <w:vAlign w:val="center"/>
          </w:tcPr>
          <w:p w14:paraId="0FC858A1">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绿色交通综合效益</w:t>
            </w: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32D535DA">
            <w:pPr>
              <w:keepNext w:val="0"/>
              <w:keepLines w:val="0"/>
              <w:widowControl/>
              <w:suppressLineNumbers w:val="0"/>
              <w:jc w:val="center"/>
              <w:rPr>
                <w:rFonts w:hint="eastAsia" w:ascii="Arial" w:hAnsi="Arial" w:eastAsia="Arial" w:cs="Arial"/>
                <w:snapToGrid w:val="0"/>
                <w:color w:val="000000"/>
                <w:kern w:val="0"/>
                <w:sz w:val="21"/>
                <w:szCs w:val="21"/>
                <w:lang w:val="en-US" w:eastAsia="zh-CN" w:bidi="ar-SA"/>
              </w:rPr>
            </w:pPr>
            <w:r>
              <w:rPr>
                <w:rFonts w:ascii="宋体" w:hAnsi="宋体" w:eastAsia="宋体" w:cs="宋体"/>
                <w:snapToGrid w:val="0"/>
                <w:color w:val="000000"/>
                <w:kern w:val="0"/>
                <w:sz w:val="24"/>
                <w:szCs w:val="24"/>
                <w:lang w:val="en-US" w:eastAsia="zh-CN" w:bidi="ar"/>
              </w:rPr>
              <w:t>空气质量</w:t>
            </w:r>
            <w:r>
              <w:rPr>
                <w:rFonts w:hint="eastAsia" w:ascii="宋体" w:hAnsi="宋体" w:eastAsia="宋体" w:cs="宋体"/>
                <w:snapToGrid w:val="0"/>
                <w:color w:val="000000"/>
                <w:kern w:val="0"/>
                <w:sz w:val="24"/>
                <w:szCs w:val="24"/>
                <w:lang w:val="en-US" w:eastAsia="zh-CN" w:bidi="ar"/>
              </w:rPr>
              <w:t>优良</w:t>
            </w:r>
            <w:r>
              <w:rPr>
                <w:rFonts w:ascii="宋体" w:hAnsi="宋体" w:eastAsia="宋体" w:cs="宋体"/>
                <w:snapToGrid w:val="0"/>
                <w:color w:val="000000"/>
                <w:kern w:val="0"/>
                <w:sz w:val="24"/>
                <w:szCs w:val="24"/>
                <w:lang w:val="en-US" w:eastAsia="zh-CN" w:bidi="ar"/>
              </w:rPr>
              <w:t>水平</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7DD4EEB">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全年空气质量达到优良标准天数</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44A4E719">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7B24397">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天</w:t>
            </w:r>
          </w:p>
        </w:tc>
      </w:tr>
      <w:tr w14:paraId="518408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273BFB2E">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9DA2FDE">
            <w:pPr>
              <w:keepNext w:val="0"/>
              <w:keepLines w:val="0"/>
              <w:widowControl/>
              <w:suppressLineNumbers w:val="0"/>
              <w:jc w:val="center"/>
              <w:rPr>
                <w:rFonts w:hint="eastAsia" w:ascii="Arial" w:hAnsi="Arial" w:eastAsia="Arial" w:cs="Arial"/>
                <w:snapToGrid w:val="0"/>
                <w:color w:val="000000"/>
                <w:kern w:val="0"/>
                <w:sz w:val="21"/>
                <w:szCs w:val="21"/>
                <w:lang w:val="en-US" w:eastAsia="en-US" w:bidi="ar-SA"/>
              </w:rPr>
            </w:pPr>
            <w:r>
              <w:rPr>
                <w:rFonts w:ascii="宋体" w:hAnsi="宋体" w:eastAsia="宋体" w:cs="宋体"/>
                <w:snapToGrid w:val="0"/>
                <w:color w:val="000000"/>
                <w:kern w:val="0"/>
                <w:sz w:val="24"/>
                <w:szCs w:val="24"/>
                <w:lang w:val="en-US" w:eastAsia="zh-CN" w:bidi="ar"/>
              </w:rPr>
              <w:t>大气污染控制水平</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355E35A6">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可吸入颗粒物年平均浓度</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E4F195D">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负</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34FAF51">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default" w:ascii="Times New Roman" w:hAnsi="Times New Roman" w:eastAsia="Segoe UI Emoji" w:cs="Times New Roman"/>
                <w:i w:val="0"/>
                <w:iCs w:val="0"/>
                <w:caps w:val="0"/>
                <w:spacing w:val="0"/>
                <w:sz w:val="24"/>
                <w:szCs w:val="24"/>
                <w:lang w:val="en-US" w:eastAsia="zh-CN"/>
              </w:rPr>
              <w:t>μg/m³</w:t>
            </w:r>
          </w:p>
        </w:tc>
      </w:tr>
      <w:tr w14:paraId="56EBF4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02BF9E90">
            <w:pPr>
              <w:ind w:left="0" w:leftChars="0" w:firstLine="0" w:firstLineChars="0"/>
              <w:jc w:val="center"/>
              <w:rPr>
                <w:rFonts w:hint="eastAsia" w:ascii="Segoe UI Emoji" w:hAnsi="Segoe UI Emoji" w:eastAsia="Segoe UI Emoji" w:cs="Segoe UI Emoji"/>
                <w:i w:val="0"/>
                <w:iCs w:val="0"/>
                <w:caps w:val="0"/>
                <w:spacing w:val="0"/>
                <w:sz w:val="24"/>
                <w:szCs w:val="24"/>
              </w:rPr>
            </w:pPr>
            <w:bookmarkStart w:id="0" w:name="_GoBack" w:colFirst="3" w:colLast="4"/>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01A5B50">
            <w:pPr>
              <w:keepNext w:val="0"/>
              <w:keepLines w:val="0"/>
              <w:widowControl/>
              <w:suppressLineNumbers w:val="0"/>
              <w:jc w:val="center"/>
              <w:rPr>
                <w:rFonts w:hint="default" w:ascii="宋体" w:hAnsi="宋体" w:eastAsia="宋体" w:cs="宋体"/>
                <w:snapToGrid w:val="0"/>
                <w:color w:val="0000FF"/>
                <w:kern w:val="0"/>
                <w:sz w:val="24"/>
                <w:szCs w:val="24"/>
                <w:lang w:val="en-US" w:eastAsia="zh-CN" w:bidi="ar"/>
              </w:rPr>
            </w:pPr>
            <w:r>
              <w:rPr>
                <w:rFonts w:hint="eastAsia" w:ascii="宋体" w:hAnsi="宋体" w:eastAsia="宋体" w:cs="宋体"/>
                <w:snapToGrid w:val="0"/>
                <w:color w:val="0000FF"/>
                <w:kern w:val="0"/>
                <w:sz w:val="24"/>
                <w:szCs w:val="24"/>
                <w:lang w:val="en-US" w:eastAsia="zh-CN" w:bidi="ar"/>
              </w:rPr>
              <w:t>交通碳排放控制水平</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622D4BF3">
            <w:pPr>
              <w:ind w:left="0" w:leftChars="0" w:firstLine="0" w:firstLineChars="0"/>
              <w:jc w:val="center"/>
              <w:rPr>
                <w:rFonts w:hint="default" w:ascii="Segoe UI Emoji" w:hAnsi="Segoe UI Emoji" w:eastAsia="Segoe UI Emoji" w:cs="Segoe UI Emoji"/>
                <w:i w:val="0"/>
                <w:iCs w:val="0"/>
                <w:caps w:val="0"/>
                <w:color w:val="0000FF"/>
                <w:spacing w:val="0"/>
                <w:sz w:val="24"/>
                <w:szCs w:val="24"/>
                <w:lang w:val="en-US" w:eastAsia="zh-CN"/>
              </w:rPr>
            </w:pPr>
            <w:r>
              <w:rPr>
                <w:rFonts w:hint="eastAsia" w:ascii="Segoe UI Emoji" w:hAnsi="Segoe UI Emoji" w:eastAsia="Segoe UI Emoji" w:cs="Segoe UI Emoji"/>
                <w:i w:val="0"/>
                <w:iCs w:val="0"/>
                <w:caps w:val="0"/>
                <w:color w:val="0000FF"/>
                <w:spacing w:val="0"/>
                <w:sz w:val="24"/>
                <w:szCs w:val="24"/>
                <w:lang w:val="en-US" w:eastAsia="zh-CN"/>
              </w:rPr>
              <w:t>二氧化碳年排放量</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7E258192">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负</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0961CEC">
            <w:pPr>
              <w:ind w:left="0" w:leftChars="0" w:firstLine="0" w:firstLineChars="0"/>
              <w:jc w:val="center"/>
              <w:rPr>
                <w:rFonts w:hint="default" w:ascii="Times New Roman" w:hAnsi="Times New Roman" w:eastAsia="Segoe UI Emoji" w:cs="Times New Roman"/>
                <w:i w:val="0"/>
                <w:iCs w:val="0"/>
                <w:caps w:val="0"/>
                <w:spacing w:val="0"/>
                <w:sz w:val="24"/>
                <w:szCs w:val="24"/>
                <w:lang w:val="en-US" w:eastAsia="zh-CN"/>
              </w:rPr>
            </w:pPr>
            <w:r>
              <w:rPr>
                <w:rFonts w:hint="eastAsia" w:ascii="Times New Roman" w:hAnsi="Times New Roman" w:eastAsia="Segoe UI Emoji" w:cs="Times New Roman"/>
                <w:i w:val="0"/>
                <w:iCs w:val="0"/>
                <w:caps w:val="0"/>
                <w:spacing w:val="0"/>
                <w:sz w:val="24"/>
                <w:szCs w:val="24"/>
                <w:lang w:val="en-US" w:eastAsia="zh-CN"/>
              </w:rPr>
              <w:t>百万吨</w:t>
            </w:r>
          </w:p>
        </w:tc>
      </w:tr>
      <w:bookmarkEnd w:id="0"/>
      <w:tr w14:paraId="387658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3B00B744">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3EED5E3">
            <w:pPr>
              <w:keepNext w:val="0"/>
              <w:keepLines w:val="0"/>
              <w:widowControl/>
              <w:suppressLineNumbers w:val="0"/>
              <w:jc w:val="center"/>
              <w:rPr>
                <w:rFonts w:hint="eastAsia" w:ascii="Arial" w:hAnsi="Arial" w:eastAsia="Arial" w:cs="Arial"/>
                <w:snapToGrid w:val="0"/>
                <w:color w:val="000000"/>
                <w:kern w:val="0"/>
                <w:sz w:val="21"/>
                <w:szCs w:val="21"/>
                <w:lang w:val="en-US" w:eastAsia="en-US" w:bidi="ar-SA"/>
              </w:rPr>
            </w:pPr>
            <w:r>
              <w:rPr>
                <w:rFonts w:ascii="宋体" w:hAnsi="宋体" w:eastAsia="宋体" w:cs="宋体"/>
                <w:snapToGrid w:val="0"/>
                <w:color w:val="000000"/>
                <w:kern w:val="0"/>
                <w:sz w:val="24"/>
                <w:szCs w:val="24"/>
                <w:lang w:val="en-US" w:eastAsia="zh-CN" w:bidi="ar"/>
              </w:rPr>
              <w:t>道路通行效率水平</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36423D99">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高峰期平均车速</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50B2E40">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5845F51">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km/h</w:t>
            </w:r>
          </w:p>
        </w:tc>
      </w:tr>
      <w:tr w14:paraId="3DCD4D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6A327408">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264505C">
            <w:pPr>
              <w:keepNext w:val="0"/>
              <w:keepLines w:val="0"/>
              <w:widowControl/>
              <w:suppressLineNumbers w:val="0"/>
              <w:jc w:val="center"/>
              <w:rPr>
                <w:rFonts w:hint="default" w:ascii="Arial" w:hAnsi="Arial" w:eastAsia="Arial" w:cs="Arial"/>
                <w:snapToGrid w:val="0"/>
                <w:color w:val="000000"/>
                <w:kern w:val="0"/>
                <w:sz w:val="21"/>
                <w:szCs w:val="21"/>
                <w:lang w:val="en-US" w:eastAsia="en-US" w:bidi="ar-SA"/>
              </w:rPr>
            </w:pPr>
            <w:r>
              <w:rPr>
                <w:rFonts w:ascii="宋体" w:hAnsi="宋体" w:eastAsia="宋体" w:cs="宋体"/>
                <w:snapToGrid w:val="0"/>
                <w:color w:val="000000"/>
                <w:kern w:val="0"/>
                <w:sz w:val="24"/>
                <w:szCs w:val="24"/>
                <w:lang w:val="en-US" w:eastAsia="zh-CN" w:bidi="ar"/>
              </w:rPr>
              <w:t>交通拥堵</w:t>
            </w:r>
            <w:r>
              <w:rPr>
                <w:rFonts w:hint="eastAsia" w:ascii="宋体" w:hAnsi="宋体" w:eastAsia="宋体" w:cs="宋体"/>
                <w:snapToGrid w:val="0"/>
                <w:color w:val="000000"/>
                <w:kern w:val="0"/>
                <w:sz w:val="24"/>
                <w:szCs w:val="24"/>
                <w:lang w:val="en-US" w:eastAsia="zh-CN" w:bidi="ar"/>
              </w:rPr>
              <w:t>指数</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DBD5E4C">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高峰拥堵延时指数</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C51415F">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负</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4C36C16A">
            <w:pPr>
              <w:ind w:left="0" w:leftChars="0" w:firstLine="0" w:firstLineChars="0"/>
              <w:jc w:val="center"/>
              <w:rPr>
                <w:rFonts w:hint="default"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w:t>
            </w:r>
          </w:p>
        </w:tc>
      </w:tr>
      <w:tr w14:paraId="5AA7CD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exact"/>
          <w:jc w:val="center"/>
        </w:trPr>
        <w:tc>
          <w:tcPr>
            <w:tcW w:w="445" w:type="pct"/>
            <w:vMerge w:val="restart"/>
            <w:tcBorders>
              <w:top w:val="nil"/>
              <w:left w:val="single" w:color="CCCCCC" w:sz="4" w:space="0"/>
              <w:bottom w:val="nil"/>
              <w:right w:val="single" w:color="CCCCCC" w:sz="4" w:space="0"/>
            </w:tcBorders>
            <w:shd w:val="clear" w:color="auto" w:fill="auto"/>
            <w:noWrap/>
            <w:vAlign w:val="center"/>
          </w:tcPr>
          <w:p w14:paraId="1F1DB052">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绿色交通支撑保障</w:t>
            </w: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5B539C6A">
            <w:pPr>
              <w:keepNext w:val="0"/>
              <w:keepLines w:val="0"/>
              <w:widowControl/>
              <w:suppressLineNumbers w:val="0"/>
              <w:jc w:val="center"/>
              <w:rPr>
                <w:rFonts w:hint="eastAsia" w:ascii="Arial" w:hAnsi="Arial" w:eastAsia="Arial" w:cs="Arial"/>
                <w:snapToGrid w:val="0"/>
                <w:color w:val="000000"/>
                <w:kern w:val="0"/>
                <w:sz w:val="21"/>
                <w:szCs w:val="21"/>
                <w:lang w:val="en-US" w:eastAsia="zh-CN" w:bidi="ar-SA"/>
              </w:rPr>
            </w:pPr>
            <w:r>
              <w:rPr>
                <w:rFonts w:ascii="宋体" w:hAnsi="宋体" w:eastAsia="宋体" w:cs="宋体"/>
                <w:sz w:val="24"/>
                <w:szCs w:val="24"/>
              </w:rPr>
              <w:t>城市绿化覆盖率</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37F73531">
            <w:pPr>
              <w:ind w:left="0" w:leftChars="0" w:firstLine="0" w:firstLineChars="0"/>
              <w:jc w:val="center"/>
              <w:rPr>
                <w:rFonts w:hint="default" w:ascii="Segoe UI Emoji" w:hAnsi="Segoe UI Emoji" w:eastAsia="Segoe UI Emoji" w:cs="Segoe UI Emoji"/>
                <w:i w:val="0"/>
                <w:iCs w:val="0"/>
                <w:caps w:val="0"/>
                <w:spacing w:val="0"/>
                <w:sz w:val="24"/>
                <w:szCs w:val="24"/>
                <w:lang w:val="en-US"/>
              </w:rPr>
            </w:pPr>
            <w:r>
              <w:rPr>
                <w:rFonts w:hint="eastAsia" w:ascii="Segoe UI Emoji" w:hAnsi="Segoe UI Emoji" w:eastAsia="Segoe UI Emoji" w:cs="Segoe UI Emoji"/>
                <w:i w:val="0"/>
                <w:iCs w:val="0"/>
                <w:caps w:val="0"/>
                <w:spacing w:val="0"/>
                <w:sz w:val="24"/>
                <w:szCs w:val="24"/>
                <w:lang w:val="en-US" w:eastAsia="zh-CN"/>
              </w:rPr>
              <w:t>建成区绿化覆盖面积占比</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358FC6BB">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46FEA269">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w:t>
            </w:r>
          </w:p>
        </w:tc>
      </w:tr>
      <w:tr w14:paraId="3DD6F8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08D8E521">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5EE475E">
            <w:pPr>
              <w:keepNext w:val="0"/>
              <w:keepLines w:val="0"/>
              <w:widowControl/>
              <w:suppressLineNumbers w:val="0"/>
              <w:jc w:val="center"/>
              <w:rPr>
                <w:rFonts w:hint="default" w:ascii="Arial" w:hAnsi="Arial" w:eastAsia="Arial" w:cs="Arial"/>
                <w:snapToGrid w:val="0"/>
                <w:color w:val="000000"/>
                <w:kern w:val="0"/>
                <w:sz w:val="21"/>
                <w:szCs w:val="21"/>
                <w:lang w:val="en-US" w:eastAsia="en-US" w:bidi="ar-SA"/>
              </w:rPr>
            </w:pPr>
            <w:r>
              <w:rPr>
                <w:rFonts w:ascii="宋体" w:hAnsi="宋体" w:eastAsia="宋体" w:cs="宋体"/>
                <w:snapToGrid w:val="0"/>
                <w:color w:val="000000"/>
                <w:kern w:val="0"/>
                <w:sz w:val="24"/>
                <w:szCs w:val="24"/>
                <w:lang w:val="en-US" w:eastAsia="zh-CN" w:bidi="ar"/>
              </w:rPr>
              <w:t>环保投入</w:t>
            </w:r>
            <w:r>
              <w:rPr>
                <w:rFonts w:hint="eastAsia" w:ascii="宋体" w:hAnsi="宋体" w:eastAsia="宋体" w:cs="宋体"/>
                <w:snapToGrid w:val="0"/>
                <w:color w:val="000000"/>
                <w:kern w:val="0"/>
                <w:sz w:val="24"/>
                <w:szCs w:val="24"/>
                <w:lang w:val="en-US" w:eastAsia="zh-CN" w:bidi="ar"/>
              </w:rPr>
              <w:t>占比</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6AB7298D">
            <w:pPr>
              <w:ind w:left="0" w:leftChars="0" w:firstLine="0" w:firstLineChars="0"/>
              <w:jc w:val="center"/>
              <w:rPr>
                <w:rFonts w:ascii="宋体" w:hAnsi="宋体" w:eastAsia="宋体" w:cs="宋体"/>
                <w:sz w:val="24"/>
                <w:szCs w:val="24"/>
              </w:rPr>
            </w:pPr>
            <w:r>
              <w:rPr>
                <w:rFonts w:ascii="宋体" w:hAnsi="宋体" w:eastAsia="宋体" w:cs="宋体"/>
                <w:sz w:val="24"/>
                <w:szCs w:val="24"/>
              </w:rPr>
              <w:t>环保财政支出占一般公共</w:t>
            </w:r>
          </w:p>
          <w:p w14:paraId="173B1511">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ascii="宋体" w:hAnsi="宋体" w:eastAsia="宋体" w:cs="宋体"/>
                <w:sz w:val="24"/>
                <w:szCs w:val="24"/>
              </w:rPr>
              <w:t>预算支出的比例</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3CD0AF7">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07FDCDBF">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w:t>
            </w:r>
          </w:p>
        </w:tc>
      </w:tr>
      <w:tr w14:paraId="67524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nil"/>
              <w:right w:val="single" w:color="CCCCCC" w:sz="4" w:space="0"/>
            </w:tcBorders>
            <w:shd w:val="clear" w:color="auto" w:fill="auto"/>
            <w:noWrap/>
            <w:vAlign w:val="center"/>
          </w:tcPr>
          <w:p w14:paraId="7A1CD6A5">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BEF4B6F">
            <w:pPr>
              <w:keepNext w:val="0"/>
              <w:keepLines w:val="0"/>
              <w:widowControl/>
              <w:suppressLineNumbers w:val="0"/>
              <w:jc w:val="center"/>
              <w:rPr>
                <w:rFonts w:hint="default" w:ascii="Arial" w:hAnsi="Arial" w:eastAsia="Arial" w:cs="Arial"/>
                <w:snapToGrid w:val="0"/>
                <w:color w:val="000000"/>
                <w:kern w:val="0"/>
                <w:sz w:val="21"/>
                <w:szCs w:val="21"/>
                <w:lang w:val="en-US" w:eastAsia="en-US" w:bidi="ar-SA"/>
              </w:rPr>
            </w:pPr>
            <w:r>
              <w:rPr>
                <w:rFonts w:ascii="宋体" w:hAnsi="宋体" w:eastAsia="宋体" w:cs="宋体"/>
                <w:snapToGrid w:val="0"/>
                <w:color w:val="000000"/>
                <w:kern w:val="0"/>
                <w:sz w:val="24"/>
                <w:szCs w:val="24"/>
                <w:lang w:val="en-US" w:eastAsia="zh-CN" w:bidi="ar"/>
              </w:rPr>
              <w:t>交通建设投入</w:t>
            </w:r>
            <w:r>
              <w:rPr>
                <w:rFonts w:hint="eastAsia" w:ascii="宋体" w:hAnsi="宋体" w:eastAsia="宋体" w:cs="宋体"/>
                <w:snapToGrid w:val="0"/>
                <w:color w:val="000000"/>
                <w:kern w:val="0"/>
                <w:sz w:val="24"/>
                <w:szCs w:val="24"/>
                <w:lang w:val="en-US" w:eastAsia="zh-CN" w:bidi="ar"/>
              </w:rPr>
              <w:t>占比</w:t>
            </w:r>
          </w:p>
        </w:tc>
        <w:tc>
          <w:tcPr>
            <w:tcW w:w="2092"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7BF252F8">
            <w:pPr>
              <w:ind w:left="0" w:leftChars="0" w:firstLine="0" w:firstLineChars="0"/>
              <w:jc w:val="center"/>
              <w:rPr>
                <w:rFonts w:ascii="宋体" w:hAnsi="宋体" w:eastAsia="宋体" w:cs="宋体"/>
                <w:sz w:val="24"/>
                <w:szCs w:val="24"/>
              </w:rPr>
            </w:pPr>
            <w:r>
              <w:rPr>
                <w:rFonts w:ascii="宋体" w:hAnsi="宋体" w:eastAsia="宋体" w:cs="宋体"/>
                <w:sz w:val="24"/>
                <w:szCs w:val="24"/>
              </w:rPr>
              <w:t>道路运输财政支出占一般公共</w:t>
            </w:r>
          </w:p>
          <w:p w14:paraId="04203C5F">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ascii="宋体" w:hAnsi="宋体" w:eastAsia="宋体" w:cs="宋体"/>
                <w:sz w:val="24"/>
                <w:szCs w:val="24"/>
              </w:rPr>
              <w:t>预算支出的比例</w:t>
            </w:r>
          </w:p>
        </w:tc>
        <w:tc>
          <w:tcPr>
            <w:tcW w:w="329"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2A090F44">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bottom w:val="single" w:color="CCCCCC" w:sz="4" w:space="0"/>
              <w:right w:val="single" w:color="CCCCCC" w:sz="4" w:space="0"/>
            </w:tcBorders>
            <w:shd w:val="clear" w:color="auto" w:fill="auto"/>
            <w:noWrap/>
            <w:vAlign w:val="center"/>
          </w:tcPr>
          <w:p w14:paraId="1F4CDC79">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w:t>
            </w:r>
          </w:p>
        </w:tc>
      </w:tr>
      <w:tr w14:paraId="213DE1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445" w:type="pct"/>
            <w:vMerge w:val="continue"/>
            <w:tcBorders>
              <w:top w:val="nil"/>
              <w:left w:val="single" w:color="CCCCCC" w:sz="4" w:space="0"/>
              <w:bottom w:val="single" w:color="auto" w:sz="4" w:space="0"/>
              <w:right w:val="single" w:color="CCCCCC" w:sz="4" w:space="0"/>
            </w:tcBorders>
            <w:shd w:val="clear" w:color="auto" w:fill="auto"/>
            <w:noWrap/>
            <w:vAlign w:val="center"/>
          </w:tcPr>
          <w:p w14:paraId="4F3A1A51">
            <w:pPr>
              <w:ind w:left="0" w:leftChars="0" w:firstLine="0" w:firstLineChars="0"/>
              <w:jc w:val="center"/>
              <w:rPr>
                <w:rFonts w:hint="eastAsia" w:ascii="Segoe UI Emoji" w:hAnsi="Segoe UI Emoji" w:eastAsia="Segoe UI Emoji" w:cs="Segoe UI Emoji"/>
                <w:i w:val="0"/>
                <w:iCs w:val="0"/>
                <w:caps w:val="0"/>
                <w:spacing w:val="0"/>
                <w:sz w:val="24"/>
                <w:szCs w:val="24"/>
              </w:rPr>
            </w:pPr>
          </w:p>
        </w:tc>
        <w:tc>
          <w:tcPr>
            <w:tcW w:w="1388" w:type="pct"/>
            <w:tcBorders>
              <w:top w:val="single" w:color="CCCCCC" w:sz="4" w:space="0"/>
              <w:left w:val="single" w:color="CCCCCC" w:sz="4" w:space="0"/>
              <w:right w:val="single" w:color="CCCCCC" w:sz="4" w:space="0"/>
            </w:tcBorders>
            <w:shd w:val="clear" w:color="auto" w:fill="auto"/>
            <w:noWrap/>
            <w:vAlign w:val="center"/>
          </w:tcPr>
          <w:p w14:paraId="0BC8B57B">
            <w:pPr>
              <w:keepNext w:val="0"/>
              <w:keepLines w:val="0"/>
              <w:widowControl/>
              <w:suppressLineNumbers w:val="0"/>
              <w:jc w:val="center"/>
              <w:rPr>
                <w:rFonts w:hint="eastAsia" w:ascii="Arial" w:hAnsi="Arial" w:eastAsia="Arial" w:cs="Arial"/>
                <w:snapToGrid w:val="0"/>
                <w:color w:val="000000"/>
                <w:kern w:val="0"/>
                <w:sz w:val="21"/>
                <w:szCs w:val="21"/>
                <w:lang w:val="en-US" w:eastAsia="en-US" w:bidi="ar-SA"/>
              </w:rPr>
            </w:pPr>
            <w:r>
              <w:rPr>
                <w:rFonts w:ascii="宋体" w:hAnsi="宋体" w:eastAsia="宋体" w:cs="宋体"/>
                <w:snapToGrid w:val="0"/>
                <w:color w:val="000000"/>
                <w:kern w:val="0"/>
                <w:sz w:val="24"/>
                <w:szCs w:val="24"/>
                <w:lang w:val="en-US" w:eastAsia="zh-CN" w:bidi="ar"/>
              </w:rPr>
              <w:t>新能源车辆推广水平</w:t>
            </w:r>
          </w:p>
        </w:tc>
        <w:tc>
          <w:tcPr>
            <w:tcW w:w="2092" w:type="pct"/>
            <w:tcBorders>
              <w:top w:val="single" w:color="CCCCCC" w:sz="4" w:space="0"/>
              <w:left w:val="single" w:color="CCCCCC" w:sz="4" w:space="0"/>
              <w:right w:val="single" w:color="CCCCCC" w:sz="4" w:space="0"/>
            </w:tcBorders>
            <w:shd w:val="clear" w:color="auto" w:fill="auto"/>
            <w:noWrap/>
            <w:vAlign w:val="center"/>
          </w:tcPr>
          <w:p w14:paraId="170A399B">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新能源车辆占有率</w:t>
            </w:r>
          </w:p>
        </w:tc>
        <w:tc>
          <w:tcPr>
            <w:tcW w:w="329" w:type="pct"/>
            <w:tcBorders>
              <w:top w:val="single" w:color="CCCCCC" w:sz="4" w:space="0"/>
              <w:left w:val="single" w:color="CCCCCC" w:sz="4" w:space="0"/>
              <w:right w:val="single" w:color="CCCCCC" w:sz="4" w:space="0"/>
            </w:tcBorders>
            <w:shd w:val="clear" w:color="auto" w:fill="auto"/>
            <w:noWrap/>
            <w:vAlign w:val="center"/>
          </w:tcPr>
          <w:p w14:paraId="23636F1B">
            <w:pPr>
              <w:ind w:left="0" w:leftChars="0" w:firstLine="0" w:firstLineChars="0"/>
              <w:jc w:val="center"/>
              <w:rPr>
                <w:rFonts w:hint="eastAsia" w:ascii="Segoe UI Emoji" w:hAnsi="Segoe UI Emoji" w:eastAsia="Segoe UI Emoji" w:cs="Segoe UI Emoji"/>
                <w:i w:val="0"/>
                <w:iCs w:val="0"/>
                <w:caps w:val="0"/>
                <w:spacing w:val="0"/>
                <w:sz w:val="24"/>
                <w:szCs w:val="24"/>
              </w:rPr>
            </w:pPr>
            <w:r>
              <w:rPr>
                <w:rFonts w:hint="eastAsia" w:ascii="Segoe UI Emoji" w:hAnsi="Segoe UI Emoji" w:eastAsia="Segoe UI Emoji" w:cs="Segoe UI Emoji"/>
                <w:i w:val="0"/>
                <w:iCs w:val="0"/>
                <w:caps w:val="0"/>
                <w:spacing w:val="0"/>
                <w:sz w:val="24"/>
                <w:szCs w:val="24"/>
                <w:lang w:val="en-US" w:eastAsia="zh-CN"/>
              </w:rPr>
              <w:t>正</w:t>
            </w:r>
          </w:p>
        </w:tc>
        <w:tc>
          <w:tcPr>
            <w:tcW w:w="744" w:type="pct"/>
            <w:tcBorders>
              <w:top w:val="single" w:color="CCCCCC" w:sz="4" w:space="0"/>
              <w:left w:val="single" w:color="CCCCCC" w:sz="4" w:space="0"/>
              <w:right w:val="single" w:color="CCCCCC" w:sz="4" w:space="0"/>
            </w:tcBorders>
            <w:shd w:val="clear" w:color="auto" w:fill="auto"/>
            <w:noWrap/>
            <w:vAlign w:val="center"/>
          </w:tcPr>
          <w:p w14:paraId="62A5E1E8">
            <w:pPr>
              <w:ind w:left="0" w:leftChars="0" w:firstLine="0" w:firstLineChars="0"/>
              <w:jc w:val="center"/>
              <w:rPr>
                <w:rFonts w:hint="eastAsia" w:ascii="Segoe UI Emoji" w:hAnsi="Segoe UI Emoji" w:eastAsia="Segoe UI Emoji" w:cs="Segoe UI Emoji"/>
                <w:i w:val="0"/>
                <w:iCs w:val="0"/>
                <w:caps w:val="0"/>
                <w:spacing w:val="0"/>
                <w:sz w:val="24"/>
                <w:szCs w:val="24"/>
                <w:lang w:val="en-US" w:eastAsia="zh-CN"/>
              </w:rPr>
            </w:pPr>
            <w:r>
              <w:rPr>
                <w:rFonts w:hint="eastAsia" w:ascii="Segoe UI Emoji" w:hAnsi="Segoe UI Emoji" w:eastAsia="Segoe UI Emoji" w:cs="Segoe UI Emoji"/>
                <w:i w:val="0"/>
                <w:iCs w:val="0"/>
                <w:caps w:val="0"/>
                <w:spacing w:val="0"/>
                <w:sz w:val="24"/>
                <w:szCs w:val="24"/>
                <w:lang w:val="en-US" w:eastAsia="zh-CN"/>
              </w:rPr>
              <w:t>%</w:t>
            </w:r>
          </w:p>
        </w:tc>
      </w:tr>
    </w:tbl>
    <w:p w14:paraId="7F90356E">
      <w:pPr>
        <w:pStyle w:val="2"/>
        <w:spacing w:before="3" w:line="359" w:lineRule="auto"/>
        <w:ind w:right="192"/>
        <w:rPr>
          <w:sz w:val="24"/>
          <w:szCs w:val="24"/>
        </w:rPr>
      </w:pPr>
      <w:r>
        <w:rPr>
          <w:rFonts w:hint="eastAsia" w:ascii="宋体" w:hAnsi="宋体" w:eastAsia="宋体" w:cs="宋体"/>
          <w:b/>
          <w:bCs/>
          <w:snapToGrid w:val="0"/>
          <w:color w:val="0000FF"/>
          <w:spacing w:val="-2"/>
          <w:kern w:val="0"/>
          <w:sz w:val="24"/>
          <w:szCs w:val="24"/>
          <w:lang w:val="en-US" w:eastAsia="en-US" w:bidi="ar-SA"/>
        </w:rPr>
        <w:t>5.研究方法</w:t>
      </w:r>
      <w:r>
        <w:rPr>
          <w:rFonts w:hint="eastAsia" w:ascii="宋体" w:hAnsi="宋体" w:eastAsia="宋体" w:cs="宋体"/>
          <w:b/>
          <w:bCs/>
          <w:snapToGrid w:val="0"/>
          <w:color w:val="auto"/>
          <w:spacing w:val="-2"/>
          <w:kern w:val="0"/>
          <w:sz w:val="24"/>
          <w:szCs w:val="24"/>
          <w:lang w:val="en-US" w:eastAsia="en-US" w:bidi="ar-SA"/>
        </w:rPr>
        <w:t>：</w:t>
      </w:r>
    </w:p>
    <w:p w14:paraId="43A2C6D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u w:val="single"/>
          <w:lang w:val="en-US" w:eastAsia="zh-CN" w:bidi="ar-SA"/>
        </w:rPr>
      </w:pPr>
      <w:r>
        <w:rPr>
          <w:rFonts w:hint="eastAsia" w:ascii="宋体" w:hAnsi="宋体" w:eastAsia="宋体" w:cs="宋体"/>
          <w:b w:val="0"/>
          <w:bCs w:val="0"/>
          <w:kern w:val="2"/>
          <w:sz w:val="24"/>
          <w:szCs w:val="24"/>
          <w:u w:val="single"/>
          <w:lang w:val="en-US" w:eastAsia="zh-CN" w:bidi="ar-SA"/>
        </w:rPr>
        <w:t>问题1：</w:t>
      </w:r>
      <w:r>
        <w:rPr>
          <w:rFonts w:ascii="宋体" w:hAnsi="宋体" w:eastAsia="宋体" w:cs="宋体"/>
          <w:sz w:val="24"/>
          <w:szCs w:val="24"/>
          <w:u w:val="single"/>
        </w:rPr>
        <w:t>如何科学测度2016-2023年全国31个省份低空经济与绿色交通的综合发展水平</w:t>
      </w:r>
    </w:p>
    <w:p w14:paraId="5DC296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bCs/>
          <w:kern w:val="2"/>
          <w:sz w:val="24"/>
          <w:szCs w:val="24"/>
          <w:u w:val="none"/>
          <w:lang w:val="en-US" w:eastAsia="zh-CN" w:bidi="ar-SA"/>
        </w:rPr>
        <w:t>研究方法：</w:t>
      </w:r>
      <w:r>
        <w:rPr>
          <w:rFonts w:ascii="宋体" w:hAnsi="宋体" w:eastAsia="宋体" w:cs="宋体"/>
          <w:sz w:val="24"/>
          <w:szCs w:val="24"/>
        </w:rPr>
        <w:t>采用改进的时间衰减CRITIC-熵权组合赋权法。</w:t>
      </w:r>
    </w:p>
    <w:p w14:paraId="636501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第一步对所有原始指标进行极差标准化处理，消除量纲影响</w:t>
      </w:r>
      <w:r>
        <w:rPr>
          <w:rFonts w:hint="eastAsia" w:ascii="宋体" w:hAnsi="宋体" w:eastAsia="宋体" w:cs="宋体"/>
          <w:sz w:val="24"/>
          <w:szCs w:val="24"/>
          <w:lang w:eastAsia="zh-CN"/>
        </w:rPr>
        <w:t>。</w:t>
      </w:r>
    </w:p>
    <w:p w14:paraId="7EC260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第二步分别计算CRITIC权重（基于指标间的冲突性与离散程度）和熵权（基于指标的信息熵）</w:t>
      </w:r>
      <w:r>
        <w:rPr>
          <w:rFonts w:hint="eastAsia" w:ascii="宋体" w:hAnsi="宋体" w:eastAsia="宋体" w:cs="宋体"/>
          <w:sz w:val="24"/>
          <w:szCs w:val="24"/>
          <w:lang w:eastAsia="zh-CN"/>
        </w:rPr>
        <w:t>。</w:t>
      </w:r>
    </w:p>
    <w:p w14:paraId="4AFBA18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第三步引入指数时间衰减因子，给202</w:t>
      </w:r>
      <w:r>
        <w:rPr>
          <w:rFonts w:hint="eastAsia" w:ascii="宋体" w:hAnsi="宋体" w:eastAsia="宋体" w:cs="宋体"/>
          <w:sz w:val="24"/>
          <w:szCs w:val="24"/>
          <w:lang w:val="en-US" w:eastAsia="zh-CN"/>
        </w:rPr>
        <w:t>1</w:t>
      </w:r>
      <w:r>
        <w:rPr>
          <w:rFonts w:ascii="宋体" w:hAnsi="宋体" w:eastAsia="宋体" w:cs="宋体"/>
          <w:sz w:val="24"/>
          <w:szCs w:val="24"/>
        </w:rPr>
        <w:t>年之后的低空经济数据赋予更高权重</w:t>
      </w:r>
      <w:r>
        <w:rPr>
          <w:rFonts w:hint="eastAsia" w:ascii="宋体" w:hAnsi="宋体" w:eastAsia="宋体" w:cs="宋体"/>
          <w:sz w:val="24"/>
          <w:szCs w:val="24"/>
          <w:lang w:eastAsia="zh-CN"/>
        </w:rPr>
        <w:t>。</w:t>
      </w:r>
    </w:p>
    <w:p w14:paraId="34C23D3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第四步将两种权重与时间衰减因子结合得到综合权重，最终计算</w:t>
      </w:r>
      <w:r>
        <w:rPr>
          <w:rFonts w:hint="eastAsia" w:ascii="宋体" w:hAnsi="宋体" w:eastAsia="宋体" w:cs="宋体"/>
          <w:sz w:val="24"/>
          <w:szCs w:val="24"/>
          <w:lang w:val="en-US" w:eastAsia="zh-CN"/>
        </w:rPr>
        <w:t>全国31省份</w:t>
      </w:r>
      <w:r>
        <w:rPr>
          <w:rFonts w:ascii="宋体" w:hAnsi="宋体" w:eastAsia="宋体" w:cs="宋体"/>
          <w:sz w:val="24"/>
          <w:szCs w:val="24"/>
        </w:rPr>
        <w:t>每年的双系统</w:t>
      </w:r>
      <w:r>
        <w:rPr>
          <w:rFonts w:hint="eastAsia" w:ascii="宋体" w:hAnsi="宋体" w:eastAsia="宋体" w:cs="宋体"/>
          <w:sz w:val="24"/>
          <w:szCs w:val="24"/>
          <w:lang w:val="en-US" w:eastAsia="zh-CN"/>
        </w:rPr>
        <w:t>各自的</w:t>
      </w:r>
      <w:r>
        <w:rPr>
          <w:rFonts w:ascii="宋体" w:hAnsi="宋体" w:eastAsia="宋体" w:cs="宋体"/>
          <w:sz w:val="24"/>
          <w:szCs w:val="24"/>
        </w:rPr>
        <w:t>综合发展指数。</w:t>
      </w:r>
    </w:p>
    <w:p w14:paraId="01DEE7E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hint="eastAsia" w:ascii="宋体" w:hAnsi="宋体" w:eastAsia="宋体" w:cs="宋体"/>
          <w:sz w:val="24"/>
          <w:szCs w:val="24"/>
          <w:lang w:val="en-US" w:eastAsia="zh-CN"/>
        </w:rPr>
        <w:t>第五步，</w:t>
      </w:r>
      <w:r>
        <w:rPr>
          <w:rFonts w:hint="eastAsia" w:ascii="宋体" w:hAnsi="宋体" w:eastAsia="宋体" w:cs="宋体"/>
          <w:sz w:val="24"/>
          <w:szCs w:val="24"/>
        </w:rPr>
        <w:t>按东部、中部、西部、东北四大区域对省份进行分组，计算各区域每年的平均综合发展水平，对比分析区域间的发展差距、增长速度及演变趋势</w:t>
      </w:r>
      <w:r>
        <w:rPr>
          <w:rFonts w:hint="eastAsia" w:ascii="宋体" w:hAnsi="宋体" w:eastAsia="宋体" w:cs="宋体"/>
          <w:sz w:val="24"/>
          <w:szCs w:val="24"/>
          <w:lang w:eastAsia="zh-CN"/>
        </w:rPr>
        <w:t>。</w:t>
      </w:r>
      <w:r>
        <w:rPr>
          <w:rFonts w:hint="eastAsia" w:ascii="宋体" w:hAnsi="宋体" w:eastAsia="宋体" w:cs="宋体"/>
          <w:sz w:val="24"/>
          <w:szCs w:val="24"/>
        </w:rPr>
        <w:t>同时梳理各区域内部省份的排名变化，识别各区域的领先省份与落后省份。</w:t>
      </w:r>
    </w:p>
    <w:p w14:paraId="2EE603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bCs/>
          <w:kern w:val="2"/>
          <w:sz w:val="24"/>
          <w:szCs w:val="24"/>
          <w:u w:val="none"/>
          <w:lang w:val="en-US" w:eastAsia="zh-CN" w:bidi="ar-SA"/>
        </w:rPr>
        <w:t>研究意义：</w:t>
      </w:r>
      <w:r>
        <w:rPr>
          <w:rFonts w:ascii="宋体" w:hAnsi="宋体" w:eastAsia="宋体" w:cs="宋体"/>
          <w:sz w:val="24"/>
          <w:szCs w:val="24"/>
        </w:rPr>
        <w:t>客观准确地刻画各省份低空经济</w:t>
      </w:r>
      <w:r>
        <w:rPr>
          <w:rFonts w:hint="eastAsia" w:ascii="宋体" w:hAnsi="宋体" w:eastAsia="宋体" w:cs="宋体"/>
          <w:sz w:val="24"/>
          <w:szCs w:val="24"/>
          <w:lang w:val="en-US" w:eastAsia="zh-CN"/>
        </w:rPr>
        <w:t>下</w:t>
      </w:r>
      <w:r>
        <w:rPr>
          <w:rFonts w:ascii="宋体" w:hAnsi="宋体" w:eastAsia="宋体" w:cs="宋体"/>
          <w:sz w:val="24"/>
          <w:szCs w:val="24"/>
        </w:rPr>
        <w:t>绿色交通的发展现状及时空演变特征，为后续的影响分析与预测提供可靠的基础数据，解决传统静态赋权法无法适配新兴产业快速发展特征的问题。</w:t>
      </w:r>
    </w:p>
    <w:p w14:paraId="30368E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bCs/>
          <w:i w:val="0"/>
          <w:iCs w:val="0"/>
          <w:kern w:val="2"/>
          <w:sz w:val="24"/>
          <w:szCs w:val="24"/>
          <w:u w:val="none"/>
          <w:lang w:val="en-US" w:eastAsia="zh-CN" w:bidi="ar-SA"/>
        </w:rPr>
      </w:pPr>
      <w:r>
        <w:rPr>
          <w:rFonts w:hint="eastAsia" w:ascii="宋体" w:hAnsi="宋体" w:eastAsia="宋体" w:cs="宋体"/>
          <w:b/>
          <w:bCs/>
          <w:i w:val="0"/>
          <w:iCs w:val="0"/>
          <w:kern w:val="2"/>
          <w:sz w:val="24"/>
          <w:szCs w:val="24"/>
          <w:u w:val="none"/>
          <w:lang w:val="en-US" w:eastAsia="zh-CN" w:bidi="ar-SA"/>
        </w:rPr>
        <w:t>可制作图表</w:t>
      </w:r>
    </w:p>
    <w:p w14:paraId="22F2C1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1.双系统指标权重对比柱状图（展示 CRITIC 权重、熵权、综合权重的差异）</w:t>
      </w:r>
    </w:p>
    <w:p w14:paraId="482131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2.2016 年、2020 年、2023 年全国低空经济下绿色交通发展水平时空热力图</w:t>
      </w:r>
    </w:p>
    <w:p w14:paraId="709381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3.四大区域（东部、中部、西部、东北）双系统发展水平年度变化折线图</w:t>
      </w:r>
    </w:p>
    <w:p w14:paraId="7E4DBB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4.2023 年各省份双系统发展水平排名条形图</w:t>
      </w:r>
    </w:p>
    <w:p w14:paraId="46B5D83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default" w:ascii="宋体" w:hAnsi="宋体" w:eastAsia="宋体" w:cs="宋体"/>
          <w:b/>
          <w:bCs/>
          <w:kern w:val="2"/>
          <w:sz w:val="24"/>
          <w:szCs w:val="24"/>
          <w:u w:val="none"/>
          <w:lang w:val="en-US" w:eastAsia="zh-CN" w:bidi="ar-SA"/>
        </w:rPr>
      </w:pPr>
      <w:r>
        <w:rPr>
          <w:rFonts w:hint="eastAsia" w:ascii="宋体" w:hAnsi="宋体" w:eastAsia="宋体" w:cs="宋体"/>
          <w:b/>
          <w:bCs/>
          <w:kern w:val="2"/>
          <w:sz w:val="24"/>
          <w:szCs w:val="24"/>
          <w:u w:val="none"/>
          <w:lang w:val="en-US" w:eastAsia="zh-CN" w:bidi="ar-SA"/>
        </w:rPr>
        <w:t>模型检验及图表</w:t>
      </w:r>
    </w:p>
    <w:p w14:paraId="572111A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1.权重合理性检验：计算本方法与传统CRITIC-熵权法、单纯熵权法得到的综合指数的皮尔逊相关系数，制作相关系数矩阵热力图</w:t>
      </w:r>
    </w:p>
    <w:p w14:paraId="3B16530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2.稳健性检验：调整时间衰减因子（分别取 0.9、0.95、0.98），计算不同衰减因子下的综合指数，制作对比折线图，验证结果稳定性</w:t>
      </w:r>
    </w:p>
    <w:p w14:paraId="206E08B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p>
    <w:p w14:paraId="3B93F6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bCs/>
          <w:kern w:val="2"/>
          <w:sz w:val="24"/>
          <w:szCs w:val="24"/>
          <w:u w:val="none"/>
          <w:lang w:val="en-US" w:eastAsia="zh-CN" w:bidi="ar-SA"/>
        </w:rPr>
      </w:pPr>
      <w:r>
        <w:rPr>
          <w:rFonts w:hint="eastAsia" w:ascii="宋体" w:hAnsi="宋体" w:eastAsia="宋体" w:cs="宋体"/>
          <w:b w:val="0"/>
          <w:bCs w:val="0"/>
          <w:kern w:val="2"/>
          <w:sz w:val="24"/>
          <w:szCs w:val="24"/>
          <w:u w:val="single"/>
          <w:lang w:val="en-US" w:eastAsia="zh-CN" w:bidi="ar-SA"/>
        </w:rPr>
        <w:t>问题2：</w:t>
      </w:r>
      <w:r>
        <w:rPr>
          <w:rFonts w:ascii="宋体" w:hAnsi="宋体" w:eastAsia="宋体" w:cs="宋体"/>
          <w:sz w:val="24"/>
          <w:szCs w:val="24"/>
          <w:u w:val="single"/>
        </w:rPr>
        <w:t>低空经济如何影响绿色交通发展，是否存在空间溢出效应及核心传导路径</w:t>
      </w:r>
    </w:p>
    <w:p w14:paraId="03FAAC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bCs/>
          <w:kern w:val="2"/>
          <w:sz w:val="24"/>
          <w:szCs w:val="24"/>
          <w:u w:val="none"/>
          <w:lang w:val="en-US" w:eastAsia="zh-CN" w:bidi="ar-SA"/>
        </w:rPr>
        <w:t>研究方法</w:t>
      </w:r>
      <w:r>
        <w:rPr>
          <w:rFonts w:hint="eastAsia" w:ascii="宋体" w:hAnsi="宋体" w:eastAsia="宋体" w:cs="宋体"/>
          <w:b w:val="0"/>
          <w:bCs w:val="0"/>
          <w:kern w:val="2"/>
          <w:sz w:val="24"/>
          <w:szCs w:val="24"/>
          <w:lang w:val="en-US" w:eastAsia="zh-CN" w:bidi="ar-SA"/>
        </w:rPr>
        <w:t>：</w:t>
      </w:r>
      <w:r>
        <w:rPr>
          <w:rFonts w:ascii="宋体" w:hAnsi="宋体" w:eastAsia="宋体" w:cs="宋体"/>
          <w:sz w:val="24"/>
          <w:szCs w:val="24"/>
        </w:rPr>
        <w:t>构建空间杜宾-多路径并行中介效应融合模型。</w:t>
      </w:r>
    </w:p>
    <w:p w14:paraId="21F65AF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ascii="宋体" w:hAnsi="宋体" w:eastAsia="宋体" w:cs="宋体"/>
          <w:sz w:val="24"/>
          <w:szCs w:val="24"/>
        </w:rPr>
        <w:t>第一步计算全局与局部莫兰指数，验证双系统的空间自相关性</w:t>
      </w:r>
      <w:r>
        <w:rPr>
          <w:rFonts w:hint="eastAsia" w:ascii="宋体" w:hAnsi="宋体" w:eastAsia="宋体" w:cs="宋体"/>
          <w:sz w:val="24"/>
          <w:szCs w:val="24"/>
          <w:lang w:eastAsia="zh-CN"/>
        </w:rPr>
        <w:t>。</w:t>
      </w:r>
    </w:p>
    <w:p w14:paraId="1ED5D7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第二步构建空间杜宾模型，分解出低空经济对绿色交通的直接影响（本省低空经济对本省绿色交通的影响）和间接溢出效应（本省低空经济对周边省份绿色交通的影响）</w:t>
      </w:r>
      <w:r>
        <w:rPr>
          <w:rFonts w:hint="eastAsia" w:ascii="宋体" w:hAnsi="宋体" w:eastAsia="宋体" w:cs="宋体"/>
          <w:sz w:val="24"/>
          <w:szCs w:val="24"/>
          <w:lang w:eastAsia="zh-CN"/>
        </w:rPr>
        <w:t>。</w:t>
      </w:r>
    </w:p>
    <w:p w14:paraId="6093FD9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第三步构建多路径并行中介效应模型，同时检验</w:t>
      </w:r>
      <w:r>
        <w:rPr>
          <w:rFonts w:hint="eastAsia" w:ascii="宋体" w:hAnsi="宋体" w:eastAsia="宋体" w:cs="宋体"/>
          <w:sz w:val="24"/>
          <w:szCs w:val="24"/>
          <w:lang w:eastAsia="zh-CN"/>
        </w:rPr>
        <w:t>“</w:t>
      </w:r>
      <w:r>
        <w:rPr>
          <w:rFonts w:ascii="宋体" w:hAnsi="宋体" w:eastAsia="宋体" w:cs="宋体"/>
          <w:sz w:val="24"/>
          <w:szCs w:val="24"/>
        </w:rPr>
        <w:t>技术创新传导</w:t>
      </w:r>
      <w:r>
        <w:rPr>
          <w:rFonts w:hint="eastAsia" w:ascii="宋体" w:hAnsi="宋体" w:eastAsia="宋体" w:cs="宋体"/>
          <w:sz w:val="24"/>
          <w:szCs w:val="24"/>
          <w:lang w:eastAsia="zh-CN"/>
        </w:rPr>
        <w:t>”“</w:t>
      </w:r>
      <w:r>
        <w:rPr>
          <w:rFonts w:ascii="宋体" w:hAnsi="宋体" w:eastAsia="宋体" w:cs="宋体"/>
          <w:sz w:val="24"/>
          <w:szCs w:val="24"/>
        </w:rPr>
        <w:t>产业结构升级</w:t>
      </w:r>
      <w:r>
        <w:rPr>
          <w:rFonts w:hint="eastAsia" w:ascii="宋体" w:hAnsi="宋体" w:eastAsia="宋体" w:cs="宋体"/>
          <w:sz w:val="24"/>
          <w:szCs w:val="24"/>
          <w:lang w:eastAsia="zh-CN"/>
        </w:rPr>
        <w:t>”“</w:t>
      </w:r>
      <w:r>
        <w:rPr>
          <w:rFonts w:ascii="宋体" w:hAnsi="宋体" w:eastAsia="宋体" w:cs="宋体"/>
          <w:sz w:val="24"/>
          <w:szCs w:val="24"/>
        </w:rPr>
        <w:t>交通结构优化</w:t>
      </w:r>
      <w:r>
        <w:rPr>
          <w:rFonts w:hint="eastAsia" w:ascii="宋体" w:hAnsi="宋体" w:eastAsia="宋体" w:cs="宋体"/>
          <w:sz w:val="24"/>
          <w:szCs w:val="24"/>
          <w:lang w:eastAsia="zh-CN"/>
        </w:rPr>
        <w:t>”</w:t>
      </w:r>
      <w:r>
        <w:rPr>
          <w:rFonts w:ascii="宋体" w:hAnsi="宋体" w:eastAsia="宋体" w:cs="宋体"/>
          <w:sz w:val="24"/>
          <w:szCs w:val="24"/>
        </w:rPr>
        <w:t>三条核心路径的独立贡献度与交互影响</w:t>
      </w:r>
      <w:r>
        <w:rPr>
          <w:rFonts w:hint="eastAsia" w:ascii="宋体" w:hAnsi="宋体" w:eastAsia="宋体" w:cs="宋体"/>
          <w:sz w:val="24"/>
          <w:szCs w:val="24"/>
          <w:lang w:eastAsia="zh-CN"/>
        </w:rPr>
        <w:t>。</w:t>
      </w:r>
    </w:p>
    <w:p w14:paraId="41BDEA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第四步进行分区域异质性分析，</w:t>
      </w:r>
      <w:r>
        <w:rPr>
          <w:rFonts w:hint="eastAsia" w:ascii="宋体" w:hAnsi="宋体" w:eastAsia="宋体" w:cs="宋体"/>
          <w:sz w:val="24"/>
          <w:szCs w:val="24"/>
        </w:rPr>
        <w:t>对比东部、中部、西部、东北四大区域影响机制的差异。</w:t>
      </w:r>
    </w:p>
    <w:p w14:paraId="79C2B3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bCs/>
          <w:kern w:val="2"/>
          <w:sz w:val="24"/>
          <w:szCs w:val="24"/>
          <w:u w:val="none"/>
          <w:lang w:val="en-US" w:eastAsia="zh-CN" w:bidi="ar-SA"/>
        </w:rPr>
        <w:t>研究意义</w:t>
      </w:r>
      <w:r>
        <w:rPr>
          <w:rFonts w:hint="eastAsia" w:ascii="宋体" w:hAnsi="宋体" w:eastAsia="宋体" w:cs="宋体"/>
          <w:b w:val="0"/>
          <w:bCs w:val="0"/>
          <w:kern w:val="2"/>
          <w:sz w:val="24"/>
          <w:szCs w:val="24"/>
          <w:lang w:val="en-US" w:eastAsia="zh-CN" w:bidi="ar-SA"/>
        </w:rPr>
        <w:t>：清</w:t>
      </w:r>
      <w:r>
        <w:rPr>
          <w:rFonts w:ascii="宋体" w:hAnsi="宋体" w:eastAsia="宋体" w:cs="宋体"/>
          <w:sz w:val="24"/>
          <w:szCs w:val="24"/>
        </w:rPr>
        <w:t>晰揭示低空经济赋能绿色交通的内在逻辑与空间传导规律，弥补传统面板回归模型忽略空间关联性的缺陷，同时一次性完成多路径检验，大幅提升分析效率，为制定差异化的区域政策提供依据。</w:t>
      </w:r>
    </w:p>
    <w:p w14:paraId="67C19A3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bCs/>
          <w:kern w:val="2"/>
          <w:sz w:val="24"/>
          <w:szCs w:val="24"/>
          <w:u w:val="none"/>
          <w:lang w:val="en-US" w:eastAsia="zh-CN" w:bidi="ar-SA"/>
        </w:rPr>
      </w:pPr>
      <w:r>
        <w:rPr>
          <w:rFonts w:hint="eastAsia" w:ascii="宋体" w:hAnsi="宋体" w:eastAsia="宋体" w:cs="宋体"/>
          <w:b/>
          <w:bCs/>
          <w:kern w:val="2"/>
          <w:sz w:val="24"/>
          <w:szCs w:val="24"/>
          <w:u w:val="none"/>
          <w:lang w:val="en-US" w:eastAsia="zh-CN" w:bidi="ar-SA"/>
        </w:rPr>
        <w:t>可制作图表</w:t>
      </w:r>
    </w:p>
    <w:p w14:paraId="1E0C1F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1.2023年低空经济与绿色交通局部莫兰散点图（分四个象限展示空间集聚特征）</w:t>
      </w:r>
    </w:p>
    <w:p w14:paraId="36828A5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2.2023年全国双系统空间集聚类型分布图（高-高、高-低、低-高、低-低四种类型）</w:t>
      </w:r>
    </w:p>
    <w:p w14:paraId="404B105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3.空间杜宾模型直接效应、间接效应、总效应对比柱状图</w:t>
      </w:r>
    </w:p>
    <w:p w14:paraId="413386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4.多路径并行中介效应路径图（标注每条路径的系数和贡献度）</w:t>
      </w:r>
    </w:p>
    <w:p w14:paraId="5CCBAB9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5.四大区域核心影响系数对比雷达图（展示不同区域三条中介路径的贡献度差异）</w:t>
      </w:r>
    </w:p>
    <w:p w14:paraId="129446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6.四大区域直接效应与间接效应对比分组柱状图</w:t>
      </w:r>
    </w:p>
    <w:p w14:paraId="11C661C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bCs/>
          <w:kern w:val="2"/>
          <w:sz w:val="24"/>
          <w:szCs w:val="24"/>
          <w:u w:val="none"/>
          <w:lang w:val="en-US" w:eastAsia="zh-CN" w:bidi="ar-SA"/>
        </w:rPr>
      </w:pPr>
      <w:r>
        <w:rPr>
          <w:rFonts w:ascii="宋体" w:hAnsi="宋体" w:eastAsia="宋体" w:cs="宋体"/>
          <w:b/>
          <w:bCs/>
          <w:sz w:val="24"/>
          <w:szCs w:val="24"/>
          <w:u w:val="none"/>
        </w:rPr>
        <w:t>模型检验及对应图表</w:t>
      </w:r>
    </w:p>
    <w:p w14:paraId="175083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1.空间自相关检验：计算2016-2023年全局莫兰指数，制作年度变化折线图，验证空间相关性的显著性</w:t>
      </w:r>
    </w:p>
    <w:p w14:paraId="3CD750A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2.模型选择检验：进行LM检验、LR检验、豪斯曼检验，制作检验结果汇总表，验证选择空间杜宾模型的合理性</w:t>
      </w:r>
    </w:p>
    <w:p w14:paraId="4071550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3.稳健性检验：替换空间权重矩阵（从地理距离矩阵替换为经济距离矩阵），重新估计模型，制作系数对比柱状图</w:t>
      </w:r>
    </w:p>
    <w:p w14:paraId="466A01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lang w:val="en-US" w:eastAsia="zh-CN" w:bidi="ar-SA"/>
        </w:rPr>
      </w:pPr>
    </w:p>
    <w:p w14:paraId="1FA5B98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val="0"/>
          <w:bCs w:val="0"/>
          <w:kern w:val="2"/>
          <w:sz w:val="24"/>
          <w:szCs w:val="24"/>
          <w:u w:val="single"/>
          <w:lang w:val="en-US" w:eastAsia="zh-CN" w:bidi="ar-SA"/>
        </w:rPr>
      </w:pPr>
      <w:r>
        <w:rPr>
          <w:rFonts w:hint="eastAsia" w:ascii="宋体" w:hAnsi="宋体" w:eastAsia="宋体" w:cs="宋体"/>
          <w:b w:val="0"/>
          <w:bCs w:val="0"/>
          <w:kern w:val="2"/>
          <w:sz w:val="24"/>
          <w:szCs w:val="24"/>
          <w:u w:val="single"/>
          <w:lang w:val="en-US" w:eastAsia="zh-CN" w:bidi="ar-SA"/>
        </w:rPr>
        <w:t>问题3：</w:t>
      </w:r>
      <w:r>
        <w:rPr>
          <w:rFonts w:ascii="宋体" w:hAnsi="宋体" w:eastAsia="宋体" w:cs="宋体"/>
          <w:sz w:val="24"/>
          <w:szCs w:val="24"/>
          <w:u w:val="single"/>
        </w:rPr>
        <w:t>如何优化低空经济的资源配置，实现绿色交通综合效益最大化</w:t>
      </w:r>
    </w:p>
    <w:p w14:paraId="0B57BD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bCs/>
          <w:kern w:val="2"/>
          <w:sz w:val="24"/>
          <w:szCs w:val="24"/>
          <w:u w:val="none"/>
          <w:lang w:val="en-US" w:eastAsia="zh-CN" w:bidi="ar-SA"/>
        </w:rPr>
        <w:t>研究方法：</w:t>
      </w:r>
      <w:r>
        <w:rPr>
          <w:rFonts w:ascii="宋体" w:hAnsi="宋体" w:eastAsia="宋体" w:cs="宋体"/>
          <w:sz w:val="24"/>
          <w:szCs w:val="24"/>
        </w:rPr>
        <w:t>采用改进的自适应粒子群优化算法求解多目标优化模型。</w:t>
      </w:r>
    </w:p>
    <w:p w14:paraId="53D7A29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第一步基于问题二的影响机制结果，构建以绿色交通综合效益最大化为目标函数，以低空经济产业投入、基础设施投入、创新投入为决策变量</w:t>
      </w:r>
      <w:r>
        <w:rPr>
          <w:rFonts w:hint="eastAsia" w:ascii="宋体" w:hAnsi="宋体" w:eastAsia="宋体" w:cs="宋体"/>
          <w:sz w:val="24"/>
          <w:szCs w:val="24"/>
          <w:lang w:eastAsia="zh-CN"/>
        </w:rPr>
        <w:t>。</w:t>
      </w:r>
    </w:p>
    <w:p w14:paraId="45179E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第二步设置各省份财政承受能力、资源禀赋等约束条件，并加入</w:t>
      </w:r>
      <w:r>
        <w:rPr>
          <w:rFonts w:hint="eastAsia" w:ascii="宋体" w:hAnsi="宋体" w:eastAsia="宋体" w:cs="宋体"/>
          <w:sz w:val="24"/>
          <w:szCs w:val="24"/>
          <w:lang w:eastAsia="zh-CN"/>
        </w:rPr>
        <w:t>“</w:t>
      </w:r>
      <w:r>
        <w:rPr>
          <w:rFonts w:ascii="宋体" w:hAnsi="宋体" w:eastAsia="宋体" w:cs="宋体"/>
          <w:sz w:val="24"/>
          <w:szCs w:val="24"/>
        </w:rPr>
        <w:t>基准投入</w:t>
      </w:r>
      <w:r>
        <w:rPr>
          <w:rFonts w:hint="eastAsia" w:ascii="宋体" w:hAnsi="宋体" w:eastAsia="宋体" w:cs="宋体"/>
          <w:sz w:val="24"/>
          <w:szCs w:val="24"/>
          <w:lang w:eastAsia="zh-CN"/>
        </w:rPr>
        <w:t>”“</w:t>
      </w:r>
      <w:r>
        <w:rPr>
          <w:rFonts w:ascii="宋体" w:hAnsi="宋体" w:eastAsia="宋体" w:cs="宋体"/>
          <w:sz w:val="24"/>
          <w:szCs w:val="24"/>
        </w:rPr>
        <w:t>加大投入</w:t>
      </w:r>
      <w:r>
        <w:rPr>
          <w:rFonts w:hint="eastAsia" w:ascii="宋体" w:hAnsi="宋体" w:eastAsia="宋体" w:cs="宋体"/>
          <w:sz w:val="24"/>
          <w:szCs w:val="24"/>
          <w:lang w:eastAsia="zh-CN"/>
        </w:rPr>
        <w:t>”“</w:t>
      </w:r>
      <w:r>
        <w:rPr>
          <w:rFonts w:ascii="宋体" w:hAnsi="宋体" w:eastAsia="宋体" w:cs="宋体"/>
          <w:sz w:val="24"/>
          <w:szCs w:val="24"/>
        </w:rPr>
        <w:t>重点投入</w:t>
      </w:r>
      <w:r>
        <w:rPr>
          <w:rFonts w:hint="eastAsia" w:ascii="宋体" w:hAnsi="宋体" w:eastAsia="宋体" w:cs="宋体"/>
          <w:sz w:val="24"/>
          <w:szCs w:val="24"/>
          <w:lang w:eastAsia="zh-CN"/>
        </w:rPr>
        <w:t>”</w:t>
      </w:r>
      <w:r>
        <w:rPr>
          <w:rFonts w:ascii="宋体" w:hAnsi="宋体" w:eastAsia="宋体" w:cs="宋体"/>
          <w:sz w:val="24"/>
          <w:szCs w:val="24"/>
        </w:rPr>
        <w:t>三种发展情景</w:t>
      </w:r>
      <w:r>
        <w:rPr>
          <w:rFonts w:hint="eastAsia" w:ascii="宋体" w:hAnsi="宋体" w:eastAsia="宋体" w:cs="宋体"/>
          <w:sz w:val="24"/>
          <w:szCs w:val="24"/>
          <w:lang w:eastAsia="zh-CN"/>
        </w:rPr>
        <w:t>。</w:t>
      </w:r>
    </w:p>
    <w:p w14:paraId="3F56ADC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第三步对标准粒子群优化算法进行改进，引入自适应惯性权重与学习因子，提升算法的收敛速度与全局寻优能力</w:t>
      </w:r>
      <w:r>
        <w:rPr>
          <w:rFonts w:hint="eastAsia" w:ascii="宋体" w:hAnsi="宋体" w:eastAsia="宋体" w:cs="宋体"/>
          <w:sz w:val="24"/>
          <w:szCs w:val="24"/>
          <w:lang w:eastAsia="zh-CN"/>
        </w:rPr>
        <w:t>。</w:t>
      </w:r>
    </w:p>
    <w:p w14:paraId="114C182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第四步求解模型，</w:t>
      </w:r>
      <w:r>
        <w:rPr>
          <w:rFonts w:hint="eastAsia" w:ascii="宋体" w:hAnsi="宋体" w:eastAsia="宋体" w:cs="宋体"/>
          <w:sz w:val="24"/>
          <w:szCs w:val="24"/>
        </w:rPr>
        <w:t>按东部、中部、西部、东北四大区域汇总结果，</w:t>
      </w:r>
      <w:r>
        <w:rPr>
          <w:rFonts w:ascii="宋体" w:hAnsi="宋体" w:eastAsia="宋体" w:cs="宋体"/>
          <w:sz w:val="24"/>
          <w:szCs w:val="24"/>
        </w:rPr>
        <w:t>生成</w:t>
      </w:r>
      <w:r>
        <w:rPr>
          <w:rFonts w:hint="eastAsia" w:ascii="宋体" w:hAnsi="宋体" w:eastAsia="宋体" w:cs="宋体"/>
          <w:sz w:val="24"/>
          <w:szCs w:val="24"/>
          <w:lang w:val="en-US" w:eastAsia="zh-CN"/>
        </w:rPr>
        <w:t>四大区域</w:t>
      </w:r>
      <w:r>
        <w:rPr>
          <w:rFonts w:ascii="宋体" w:hAnsi="宋体" w:eastAsia="宋体" w:cs="宋体"/>
          <w:sz w:val="24"/>
          <w:szCs w:val="24"/>
        </w:rPr>
        <w:t>、不同发展情景下的最优低空经济资源配置方案。</w:t>
      </w:r>
    </w:p>
    <w:p w14:paraId="6260CD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ascii="宋体" w:hAnsi="宋体" w:eastAsia="宋体" w:cs="宋体"/>
          <w:sz w:val="24"/>
          <w:szCs w:val="24"/>
        </w:rPr>
      </w:pPr>
      <w:r>
        <w:rPr>
          <w:rFonts w:hint="eastAsia" w:ascii="宋体" w:hAnsi="宋体" w:eastAsia="宋体" w:cs="宋体"/>
          <w:b/>
          <w:bCs/>
          <w:kern w:val="2"/>
          <w:sz w:val="24"/>
          <w:szCs w:val="24"/>
          <w:u w:val="none"/>
          <w:lang w:val="en-US" w:eastAsia="zh-CN" w:bidi="ar-SA"/>
        </w:rPr>
        <w:t>研究意义：</w:t>
      </w:r>
      <w:r>
        <w:rPr>
          <w:rFonts w:ascii="宋体" w:hAnsi="宋体" w:eastAsia="宋体" w:cs="宋体"/>
          <w:sz w:val="24"/>
          <w:szCs w:val="24"/>
        </w:rPr>
        <w:t>解决传统政策制定依赖经验判断、缺乏量化支撑的问题，为地方政府优化财政资金投向、提高资源利用效率提供科学的决策工具。</w:t>
      </w:r>
    </w:p>
    <w:p w14:paraId="33AB62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bCs/>
          <w:sz w:val="24"/>
          <w:szCs w:val="24"/>
          <w:u w:val="none"/>
          <w:lang w:val="en-US" w:eastAsia="zh-CN"/>
        </w:rPr>
      </w:pPr>
      <w:r>
        <w:rPr>
          <w:rFonts w:hint="eastAsia" w:ascii="宋体" w:hAnsi="宋体" w:eastAsia="宋体" w:cs="宋体"/>
          <w:b/>
          <w:bCs/>
          <w:sz w:val="24"/>
          <w:szCs w:val="24"/>
          <w:u w:val="none"/>
          <w:lang w:val="en-US" w:eastAsia="zh-CN"/>
        </w:rPr>
        <w:t>可制作图表</w:t>
      </w:r>
    </w:p>
    <w:p w14:paraId="63F7BC8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1.改进粒子群算法与标准粒子群算法、遗传算法的收敛曲线对比图</w:t>
      </w:r>
    </w:p>
    <w:p w14:paraId="2C58BA3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2.基准情景下四大区域最优投入结构饼图</w:t>
      </w:r>
    </w:p>
    <w:p w14:paraId="18C8DD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3.三种发展情景下四大区域绿色交通综合效益预测值对比柱状图</w:t>
      </w:r>
    </w:p>
    <w:p w14:paraId="74514C6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4.四大区域不同投入要素的边际效益曲线</w:t>
      </w:r>
    </w:p>
    <w:p w14:paraId="4F509A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5.典型省份最优投入方案对比雷达图</w:t>
      </w:r>
    </w:p>
    <w:p w14:paraId="4D0FE4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6.全国低空经济资源配置优化建议空间分布图</w:t>
      </w:r>
    </w:p>
    <w:p w14:paraId="137CA90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bCs/>
          <w:sz w:val="24"/>
          <w:szCs w:val="24"/>
          <w:u w:val="none"/>
          <w:lang w:val="en-US" w:eastAsia="zh-CN"/>
        </w:rPr>
      </w:pPr>
      <w:r>
        <w:rPr>
          <w:rFonts w:hint="eastAsia" w:ascii="宋体" w:hAnsi="宋体" w:eastAsia="宋体" w:cs="宋体"/>
          <w:b/>
          <w:bCs/>
          <w:sz w:val="24"/>
          <w:szCs w:val="24"/>
          <w:u w:val="none"/>
          <w:lang w:val="en-US" w:eastAsia="zh-CN"/>
        </w:rPr>
        <w:t>模型检验及对应图表</w:t>
      </w:r>
    </w:p>
    <w:p w14:paraId="2AB791A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1.算法有效性检验：对比三种算法的收敛速度、最优解质量、运行时间，制作对比表格和收敛曲线</w:t>
      </w:r>
    </w:p>
    <w:p w14:paraId="28DF8C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2.敏感性分析：分别调整目标函数中各投入要素的权重系数，制作绿色交通综合效益变化折线图，验证结果的稳定性</w:t>
      </w:r>
    </w:p>
    <w:p w14:paraId="270A04F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3.可行性检验：将优化方案与各省份历史投入数据对比，制作投入偏差条形图，验证方案的可落地性</w:t>
      </w:r>
    </w:p>
    <w:p w14:paraId="7E51B3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b/>
          <w:bCs/>
          <w:color w:val="0000FF"/>
          <w:kern w:val="2"/>
          <w:sz w:val="24"/>
          <w:szCs w:val="24"/>
          <w:lang w:val="en-US" w:eastAsia="zh-CN" w:bidi="ar-SA"/>
        </w:rPr>
      </w:pPr>
      <w:r>
        <w:rPr>
          <w:rFonts w:ascii="宋体" w:hAnsi="宋体" w:eastAsia="宋体" w:cs="宋体"/>
          <w:color w:val="0000FF"/>
          <w:sz w:val="24"/>
          <w:szCs w:val="24"/>
        </w:rPr>
        <w:t>在问题三的资源配置优化部分，选取一个典型省份（比如</w:t>
      </w:r>
      <w:r>
        <w:rPr>
          <w:rFonts w:hint="eastAsia" w:ascii="宋体" w:hAnsi="宋体" w:eastAsia="宋体" w:cs="宋体"/>
          <w:color w:val="0000FF"/>
          <w:sz w:val="24"/>
          <w:szCs w:val="24"/>
          <w:lang w:val="en-US" w:eastAsia="zh-CN"/>
        </w:rPr>
        <w:t>山东省</w:t>
      </w:r>
      <w:r>
        <w:rPr>
          <w:rFonts w:ascii="宋体" w:hAnsi="宋体" w:eastAsia="宋体" w:cs="宋体"/>
          <w:color w:val="0000FF"/>
          <w:sz w:val="24"/>
          <w:szCs w:val="24"/>
        </w:rPr>
        <w:t>），展示</w:t>
      </w:r>
      <w:r>
        <w:rPr>
          <w:rFonts w:hint="eastAsia" w:ascii="宋体" w:hAnsi="宋体" w:eastAsia="宋体" w:cs="宋体"/>
          <w:color w:val="0000FF"/>
          <w:sz w:val="24"/>
          <w:szCs w:val="24"/>
          <w:lang w:val="en-US" w:eastAsia="zh-CN"/>
        </w:rPr>
        <w:t>我们的</w:t>
      </w:r>
      <w:r>
        <w:rPr>
          <w:rFonts w:ascii="宋体" w:hAnsi="宋体" w:eastAsia="宋体" w:cs="宋体"/>
          <w:color w:val="0000FF"/>
          <w:sz w:val="24"/>
          <w:szCs w:val="24"/>
        </w:rPr>
        <w:t>优化方法在该省份的具体应用效果，比如优化后绿色交通综合效益可以提升多少，资金使用效率可以提高多少。这部分只需要半页左右的篇幅，但能极大地提升研究的实用性和说服力</w:t>
      </w:r>
    </w:p>
    <w:p w14:paraId="31684C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color w:val="0000FF"/>
          <w:sz w:val="24"/>
          <w:szCs w:val="24"/>
        </w:rPr>
      </w:pPr>
      <w:r>
        <w:rPr>
          <w:rFonts w:hint="eastAsia" w:ascii="宋体" w:hAnsi="宋体" w:eastAsia="宋体" w:cs="宋体"/>
          <w:color w:val="0000FF"/>
          <w:sz w:val="24"/>
          <w:szCs w:val="24"/>
          <w:lang w:val="en-US" w:eastAsia="zh-CN"/>
        </w:rPr>
        <w:t>全文</w:t>
      </w:r>
      <w:r>
        <w:rPr>
          <w:rFonts w:ascii="宋体" w:hAnsi="宋体" w:eastAsia="宋体" w:cs="宋体"/>
          <w:color w:val="0000FF"/>
          <w:sz w:val="24"/>
          <w:szCs w:val="24"/>
        </w:rPr>
        <w:t>优先制作时空热力图、莫兰散点图、中介效应路径图、收敛曲线对比图，这四类图表视觉效果好、技术含量高</w:t>
      </w:r>
    </w:p>
    <w:p w14:paraId="7C43BF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部分辅助性图表（如稳健性检验对比图、敏感性分析图）如果篇幅不允许就不要了或者放在附录，</w:t>
      </w:r>
      <w:r>
        <w:rPr>
          <w:rFonts w:hint="eastAsia" w:ascii="宋体" w:hAnsi="宋体" w:eastAsia="宋体" w:cs="宋体"/>
          <w:color w:val="0000FF"/>
          <w:sz w:val="24"/>
          <w:szCs w:val="24"/>
          <w:u w:val="single"/>
          <w:lang w:val="en-US" w:eastAsia="zh-CN"/>
        </w:rPr>
        <w:t>正文只保留核心结果图表</w:t>
      </w:r>
    </w:p>
    <w:p w14:paraId="05C2C000">
      <w:pPr>
        <w:pStyle w:val="2"/>
        <w:spacing w:line="219" w:lineRule="auto"/>
        <w:rPr>
          <w:rFonts w:hint="eastAsia" w:ascii="宋体" w:hAnsi="宋体" w:eastAsia="宋体" w:cs="宋体"/>
          <w:sz w:val="24"/>
          <w:szCs w:val="24"/>
        </w:rPr>
      </w:pPr>
      <w:r>
        <w:rPr>
          <w:rFonts w:hint="eastAsia" w:ascii="宋体" w:hAnsi="宋体" w:eastAsia="宋体" w:cs="宋体"/>
          <w:b/>
          <w:bCs/>
          <w:color w:val="0000FF"/>
          <w:spacing w:val="-1"/>
          <w:sz w:val="24"/>
          <w:szCs w:val="24"/>
          <w:lang w:val="en-US" w:eastAsia="zh-CN"/>
        </w:rPr>
        <w:t>6.</w:t>
      </w:r>
      <w:r>
        <w:rPr>
          <w:rFonts w:hint="eastAsia" w:ascii="宋体" w:hAnsi="宋体" w:eastAsia="宋体" w:cs="宋体"/>
          <w:b/>
          <w:bCs/>
          <w:color w:val="0000FF"/>
          <w:spacing w:val="-1"/>
          <w:sz w:val="24"/>
          <w:szCs w:val="24"/>
        </w:rPr>
        <w:t xml:space="preserve"> 创新点</w:t>
      </w:r>
      <w:r>
        <w:rPr>
          <w:rFonts w:hint="eastAsia" w:ascii="宋体" w:hAnsi="宋体" w:eastAsia="宋体" w:cs="宋体"/>
          <w:b/>
          <w:bCs/>
          <w:spacing w:val="-20"/>
          <w:sz w:val="24"/>
          <w:szCs w:val="24"/>
        </w:rPr>
        <w:t>：</w:t>
      </w:r>
    </w:p>
    <w:p w14:paraId="33F0B1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vertAlign w:val="baseline"/>
          <w:lang w:val="en-US" w:eastAsia="zh-CN"/>
        </w:rPr>
      </w:pPr>
      <w:r>
        <w:rPr>
          <w:rFonts w:hint="eastAsia" w:ascii="微软雅黑" w:hAnsi="微软雅黑" w:eastAsia="微软雅黑" w:cs="微软雅黑"/>
          <w:sz w:val="24"/>
          <w:szCs w:val="24"/>
          <w:vertAlign w:val="baseline"/>
          <w:lang w:val="en-US" w:eastAsia="zh-CN"/>
        </w:rPr>
        <w:t>①</w:t>
      </w:r>
      <w:r>
        <w:rPr>
          <w:rFonts w:hint="eastAsia"/>
          <w:sz w:val="24"/>
          <w:szCs w:val="24"/>
          <w:vertAlign w:val="baseline"/>
          <w:lang w:val="en-US" w:eastAsia="zh-CN"/>
        </w:rPr>
        <w:t>提出了时间衰减CRITIC-熵权组合赋权法，通过引入指数时间衰减因子解决了新兴产业早期数据代表性不足的问题，测度结果的准确性比传统方法提升   以上。</w:t>
      </w:r>
    </w:p>
    <w:p w14:paraId="24143B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vertAlign w:val="baseline"/>
          <w:lang w:val="en-US" w:eastAsia="zh-CN"/>
        </w:rPr>
      </w:pPr>
      <w:r>
        <w:rPr>
          <w:rFonts w:hint="eastAsia" w:ascii="微软雅黑" w:hAnsi="微软雅黑" w:eastAsia="微软雅黑" w:cs="微软雅黑"/>
          <w:sz w:val="24"/>
          <w:szCs w:val="24"/>
          <w:vertAlign w:val="baseline"/>
          <w:lang w:val="en-US" w:eastAsia="zh-CN"/>
        </w:rPr>
        <w:t>②</w:t>
      </w:r>
      <w:r>
        <w:rPr>
          <w:rFonts w:hint="eastAsia"/>
          <w:sz w:val="24"/>
          <w:szCs w:val="24"/>
          <w:vertAlign w:val="baseline"/>
          <w:lang w:val="en-US" w:eastAsia="zh-CN"/>
        </w:rPr>
        <w:t>构建了空间杜宾-多路径并行中介效应融合模型，同时实现了空间溢出效应的精准量化与多传导路径的高效识别，估计精度比传统OLS模型提升   ，分析效率提升   倍以上。</w:t>
      </w:r>
    </w:p>
    <w:p w14:paraId="5C67C3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vertAlign w:val="baseline"/>
          <w:lang w:val="en-US" w:eastAsia="zh-CN"/>
        </w:rPr>
      </w:pPr>
      <w:r>
        <w:rPr>
          <w:rFonts w:hint="eastAsia" w:ascii="微软雅黑" w:hAnsi="微软雅黑" w:eastAsia="微软雅黑" w:cs="微软雅黑"/>
          <w:sz w:val="24"/>
          <w:szCs w:val="24"/>
          <w:vertAlign w:val="baseline"/>
          <w:lang w:val="en-US" w:eastAsia="zh-CN"/>
        </w:rPr>
        <w:t>③</w:t>
      </w:r>
      <w:r>
        <w:rPr>
          <w:rFonts w:hint="eastAsia"/>
          <w:sz w:val="24"/>
          <w:szCs w:val="24"/>
          <w:vertAlign w:val="baseline"/>
          <w:lang w:val="en-US" w:eastAsia="zh-CN"/>
        </w:rPr>
        <w:t>建立了融合空间注意力机制的图神经网络预测模型，能够自动捕捉区域间的非线性空间关联，预测精度比传统LSTM模型提升   ，比ARIMA模型提升   。</w:t>
      </w:r>
    </w:p>
    <w:p w14:paraId="0E587B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sz w:val="24"/>
          <w:szCs w:val="24"/>
        </w:rPr>
      </w:pPr>
      <w:r>
        <w:rPr>
          <w:rFonts w:hint="eastAsia" w:ascii="微软雅黑" w:hAnsi="微软雅黑" w:eastAsia="微软雅黑" w:cs="微软雅黑"/>
          <w:sz w:val="24"/>
          <w:szCs w:val="24"/>
          <w:vertAlign w:val="baseline"/>
          <w:lang w:val="en-US" w:eastAsia="zh-CN"/>
        </w:rPr>
        <w:t>④</w:t>
      </w:r>
      <w:r>
        <w:rPr>
          <w:rFonts w:hint="eastAsia"/>
          <w:sz w:val="24"/>
          <w:szCs w:val="24"/>
          <w:vertAlign w:val="baseline"/>
          <w:lang w:val="en-US" w:eastAsia="zh-CN"/>
        </w:rPr>
        <w:t>设计了基于改进自适应粒子群优化算法的多目标资源配置方法，收敛速度比标准粒子群算法提升   ，能够生成差异化的最优投入方案，具备直接落地的应用价值。</w:t>
      </w:r>
    </w:p>
    <w:sectPr>
      <w:pgSz w:w="11906" w:h="16839"/>
      <w:pgMar w:top="1431" w:right="1609" w:bottom="1429" w:left="1687"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62F563"/>
    <w:multiLevelType w:val="singleLevel"/>
    <w:tmpl w:val="EF62F563"/>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3FE6319"/>
    <w:rsid w:val="04740790"/>
    <w:rsid w:val="12FD7F36"/>
    <w:rsid w:val="19716E70"/>
    <w:rsid w:val="1E6D36D8"/>
    <w:rsid w:val="41887F41"/>
    <w:rsid w:val="48DA400F"/>
    <w:rsid w:val="51850CCC"/>
    <w:rsid w:val="683204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3898</Words>
  <Characters>4058</Characters>
  <TotalTime>77</TotalTime>
  <ScaleCrop>false</ScaleCrop>
  <LinksUpToDate>false</LinksUpToDate>
  <CharactersWithSpaces>4084</CharactersWithSpaces>
  <Application>WPS Office_12.1.0.22175_F1E327BC-269C-435d-A152-05C5408002CA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2025-03-09T19:06:00Z</dcterms:created>
  <dc:creator>56398</dc:creator>
  <cp:lastModifiedBy>念安</cp:lastModifiedBy>
  <dcterms:modified xsi:type="dcterms:W3CDTF">2026-04-09T04:38:38Z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2026-04-06T14:34:43Z</vt:filetime>
  </property>
  <property fmtid="{D5CDD505-2E9C-101B-9397-08002B2CF9AE}" pid="4" name="KSOTemplateDocerSaveRecord">
    <vt:lpwstr>eyJoZGlkIjoiODBhNTM5ODYzOGJmOTE3MjkyOWMzM2Q2YzA2OWVlYWQiLCJ1c2VySWQiOiI3MjgyNDcxMTgifQ==</vt:lpwstr>
  </property>
  <property fmtid="{D5CDD505-2E9C-101B-9397-08002B2CF9AE}" pid="5" name="KSOProductBuildVer">
    <vt:lpwstr>2052-12.1.0.22175</vt:lpwstr>
  </property>
  <property fmtid="{D5CDD505-2E9C-101B-9397-08002B2CF9AE}" pid="6" name="ICV">
    <vt:lpwstr>23AAD29AE50D4721A179D46ADB94A32C_13</vt:lpwstr>
  </property>
</Properties>
</file>