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0C" w:rsidRPr="002B7E55" w:rsidRDefault="005A030C" w:rsidP="002B7E55">
      <w:pPr>
        <w:autoSpaceDE w:val="0"/>
        <w:autoSpaceDN w:val="0"/>
        <w:adjustRightInd w:val="0"/>
        <w:jc w:val="center"/>
        <w:rPr>
          <w:rFonts w:ascii="ArialMT" w:hAnsi="ArialMT" w:cs="ArialMT"/>
          <w:kern w:val="0"/>
          <w:sz w:val="36"/>
          <w:szCs w:val="36"/>
        </w:rPr>
      </w:pPr>
      <w:r w:rsidRPr="002B7E55">
        <w:rPr>
          <w:rFonts w:ascii="ArialMT" w:hAnsi="ArialMT" w:cs="ArialMT"/>
          <w:kern w:val="0"/>
          <w:sz w:val="36"/>
          <w:szCs w:val="36"/>
        </w:rPr>
        <w:t>Provably Secure Timed-Release Public Key</w:t>
      </w:r>
      <w:r w:rsidR="002B7E55" w:rsidRPr="002B7E55">
        <w:rPr>
          <w:rFonts w:ascii="ArialMT" w:hAnsi="ArialMT" w:cs="ArialMT" w:hint="eastAsia"/>
          <w:kern w:val="0"/>
          <w:sz w:val="36"/>
          <w:szCs w:val="36"/>
        </w:rPr>
        <w:t xml:space="preserve"> </w:t>
      </w:r>
      <w:r w:rsidRPr="002B7E55">
        <w:rPr>
          <w:rFonts w:ascii="ArialMT" w:hAnsi="ArialMT" w:cs="ArialMT"/>
          <w:kern w:val="0"/>
          <w:sz w:val="36"/>
          <w:szCs w:val="36"/>
        </w:rPr>
        <w:t>Encryption</w:t>
      </w:r>
    </w:p>
    <w:p w:rsidR="005A030C" w:rsidRPr="002B7E55" w:rsidRDefault="005A030C" w:rsidP="005A030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0"/>
          <w:szCs w:val="20"/>
        </w:rPr>
      </w:pPr>
      <w:r w:rsidRPr="002B7E55">
        <w:rPr>
          <w:rFonts w:ascii="ArialMT" w:hAnsi="ArialMT" w:cs="ArialMT"/>
          <w:kern w:val="0"/>
          <w:sz w:val="20"/>
          <w:szCs w:val="20"/>
        </w:rPr>
        <w:t>JUNG HEE CHEON</w:t>
      </w:r>
    </w:p>
    <w:p w:rsidR="005A030C" w:rsidRPr="002B7E55" w:rsidRDefault="005A030C" w:rsidP="005A030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0"/>
          <w:szCs w:val="20"/>
        </w:rPr>
      </w:pPr>
      <w:r w:rsidRPr="002B7E55">
        <w:rPr>
          <w:rFonts w:ascii="ArialMT" w:hAnsi="ArialMT" w:cs="ArialMT"/>
          <w:kern w:val="0"/>
          <w:sz w:val="20"/>
          <w:szCs w:val="20"/>
        </w:rPr>
        <w:t>Seoul National University, Korea</w:t>
      </w:r>
    </w:p>
    <w:p w:rsidR="005A030C" w:rsidRPr="002B7E55" w:rsidRDefault="005A030C" w:rsidP="005A030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0"/>
          <w:szCs w:val="20"/>
        </w:rPr>
      </w:pPr>
      <w:r w:rsidRPr="002B7E55">
        <w:rPr>
          <w:rFonts w:ascii="ArialMT" w:hAnsi="ArialMT" w:cs="ArialMT"/>
          <w:kern w:val="0"/>
          <w:sz w:val="20"/>
          <w:szCs w:val="20"/>
        </w:rPr>
        <w:t>and</w:t>
      </w:r>
    </w:p>
    <w:p w:rsidR="005A030C" w:rsidRPr="002B7E55" w:rsidRDefault="005A030C" w:rsidP="005A030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0"/>
          <w:szCs w:val="20"/>
        </w:rPr>
      </w:pPr>
      <w:r w:rsidRPr="002B7E55">
        <w:rPr>
          <w:rFonts w:ascii="ArialMT" w:hAnsi="ArialMT" w:cs="ArialMT"/>
          <w:kern w:val="0"/>
          <w:sz w:val="20"/>
          <w:szCs w:val="20"/>
        </w:rPr>
        <w:t>NICHOLAS HOPPER, YONGDAE KIM and IVAN OSIPKOV</w:t>
      </w:r>
    </w:p>
    <w:p w:rsidR="005A030C" w:rsidRPr="002B7E55" w:rsidRDefault="005A030C" w:rsidP="005A030C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0"/>
          <w:szCs w:val="20"/>
        </w:rPr>
      </w:pPr>
      <w:r w:rsidRPr="002B7E55">
        <w:rPr>
          <w:rFonts w:ascii="ArialMT" w:hAnsi="ArialMT" w:cs="ArialMT"/>
          <w:kern w:val="0"/>
          <w:sz w:val="20"/>
          <w:szCs w:val="20"/>
        </w:rPr>
        <w:t>University of Minnesota - Twin Cities</w:t>
      </w:r>
    </w:p>
    <w:p w:rsidR="00C35F50" w:rsidRPr="00347BA7" w:rsidRDefault="00C35F50" w:rsidP="00ED43BE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 xml:space="preserve">Provably Secure Timed-Release Public Key Encryption </w:t>
      </w:r>
      <w:r w:rsidR="00097B65"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 xml:space="preserve">· </w:t>
      </w: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8: 1</w:t>
      </w:r>
    </w:p>
    <w:p w:rsidR="002B7E55" w:rsidRDefault="005A030C" w:rsidP="006765D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00B61">
        <w:rPr>
          <w:rFonts w:ascii="Times New Roman" w:eastAsia="宋体" w:hAnsi="Times New Roman" w:cs="Times New Roman"/>
          <w:sz w:val="24"/>
          <w:szCs w:val="24"/>
        </w:rPr>
        <w:t>A timed-release cryptosystem allows a sender to encrypt a message so that only the intended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recipient can read it only after a specified time. We formalize the concept of a secure timed-release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public-key cryptosystem and show that, if a third party is relied upon to guarantee decryption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after the specified date, this concept is equivalent to identity-based encryption; this explains the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observation that all known constructions use identity-based encryption to achieve timed-release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security. We then give several provably-secure constructions of timed-release encryption: a generic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scheme based on any identity-based encryption scheme, and two more efficient schemes based on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the existence of cryptographically admissible bilinear mappings. The first of these is essentially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as efficient as the Boneh-Franklin Identity-Based encryption scheme, and is provably secure and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authenticated in the random oracle model; the final scheme is not authenticated but is provably</w:t>
      </w:r>
      <w:r w:rsidR="006765D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secure in the standard model (i.e., without random oracles).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Categories and Subject Descriptors: E.3 [Data]: Data Encryption—Public Key Cryptosystems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B7E55">
        <w:rPr>
          <w:rFonts w:ascii="Times New Roman" w:eastAsia="宋体" w:hAnsi="Times New Roman" w:cs="Times New Roman"/>
          <w:sz w:val="24"/>
          <w:szCs w:val="24"/>
        </w:rPr>
        <w:t>General Terms: Security</w:t>
      </w:r>
      <w:r w:rsidR="002B7E55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5A030C" w:rsidRPr="00800B61" w:rsidRDefault="005A030C" w:rsidP="006765D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00B61">
        <w:rPr>
          <w:rFonts w:ascii="Times New Roman" w:eastAsia="宋体" w:hAnsi="Times New Roman" w:cs="Times New Roman"/>
          <w:sz w:val="24"/>
          <w:szCs w:val="24"/>
        </w:rPr>
        <w:t>Theory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Additional Key Words and Phrases: timed-release, authenticated encryption, key-insulated</w:t>
      </w:r>
      <w:r w:rsidR="006765D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0B61">
        <w:rPr>
          <w:rFonts w:ascii="Times New Roman" w:eastAsia="宋体" w:hAnsi="Times New Roman" w:cs="Times New Roman"/>
          <w:sz w:val="24"/>
          <w:szCs w:val="24"/>
        </w:rPr>
        <w:t>encryption</w:t>
      </w:r>
    </w:p>
    <w:p w:rsidR="005A030C" w:rsidRPr="00347BA7" w:rsidRDefault="005A030C" w:rsidP="00ED43BE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8: 2 · J. H. Cheon et al.</w:t>
      </w:r>
    </w:p>
    <w:p w:rsidR="005A030C" w:rsidRPr="00347BA7" w:rsidRDefault="005A030C" w:rsidP="00ED43BE">
      <w:pPr>
        <w:autoSpaceDE w:val="0"/>
        <w:autoSpaceDN w:val="0"/>
        <w:adjustRightInd w:val="0"/>
        <w:spacing w:before="100" w:afterLines="50" w:after="156"/>
        <w:jc w:val="left"/>
        <w:outlineLvl w:val="1"/>
        <w:rPr>
          <w:rFonts w:ascii="Times New Roman" w:eastAsia="黑体" w:hAnsi="Times New Roman" w:cs="Times New Roman"/>
          <w:b/>
          <w:kern w:val="0"/>
          <w:sz w:val="28"/>
          <w:szCs w:val="28"/>
        </w:rPr>
      </w:pPr>
      <w:r w:rsidRPr="00347BA7">
        <w:rPr>
          <w:rFonts w:ascii="Times New Roman" w:eastAsia="黑体" w:hAnsi="Times New Roman" w:cs="Times New Roman"/>
          <w:b/>
          <w:kern w:val="0"/>
          <w:sz w:val="28"/>
          <w:szCs w:val="28"/>
        </w:rPr>
        <w:t>1. INTRODUCTION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The goal of timed-release cryptography is to “send a message into the future.”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One way to do this is to encrypt a message such that the receiver cannot decrypt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the ciphertext until a specific time in the future. Such a primitive would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have many practical applications; a few examples include preventing a dishonest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auctioneer from prior opening of bids in a sealed-bid auction [Rivest et al.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1996], preventing early opening of votes in e-voting schemes, fair exchange,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release of classified information, and delayed verification of a signed document,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lastRenderedPageBreak/>
        <w:t>such as electronic lotteries [Syverson 1998] and check cashing. The problem of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timed-release cryptography was first mentioned by [May 1993] and then discussed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in detail by [Rivest et al. 1996].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Let us assume that Alice wants to send a message to Bob such that Bob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will not be able to open it until a certain time. Previous solutions fall into two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categories: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—Time-lock puzzles: Alice encrypts her message so that Bob needs to perform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non-parallelizable computation without stopping for the required time to decrypt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it. If Alice accurately predicts Bob’s computing resources between now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and the desired time, then Bob recovers the message.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—Trusted decryption agents: Alice encrypts a message such that Bob needs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some secret value, published by a trusted agent on the required date, in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order to decrypt the message. Once the agent releases the information, Bob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can decrypt the message.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The first approach puts considerable computational overhead on the message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receiver, which makes it undesirable for real-life scenarios. In addition, knowing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the computational complexity of decryption, while giving us a lower bound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on the computing time Bob may need to decrypt the message, does not guarantee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that the plaintext will be available at a certain date. Still, this approach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is widely used for specific applications [Boneh and Naor 2000; Belare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and Goldwasser 1996; Syverson 1998; Garay and Pomerance 2002, 2003].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The agent-based approach, on the other hand, relieves Bob from performing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nonstop computation, sets the date of decryption precisely and does not require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Alice to have information on Bob’s capabilities. This comes at a price,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though: the agents have to be trusted and they have to be available at the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designated time.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In this article we concentrate on schemes that use such “decryption agents.”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We formalize this notion of a secure timed-release encryption scheme and show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that it is equivalent to the notion of strongly key-insulated encryption [Dodis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et al. 2002]; when there is no a priori bound on the number of time periods,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this notion is, in turn, known to be equivalent to identity-based encryption,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or IBE [Bellare and Palacio 2002]. We also give several provably-secure constructions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of timed-release public-key encryption, including the first provablysecure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generic construction in the literature, and the first efficient scheme that</w:t>
      </w:r>
      <w:r w:rsidR="00AE0C1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E0C1E">
        <w:rPr>
          <w:rFonts w:ascii="Times New Roman" w:eastAsia="宋体" w:hAnsi="Times New Roman" w:cs="Times New Roman"/>
          <w:sz w:val="24"/>
          <w:szCs w:val="24"/>
        </w:rPr>
        <w:t>is provably secure in the standard model, that is, without random oracles.</w:t>
      </w:r>
    </w:p>
    <w:p w:rsidR="005A030C" w:rsidRPr="00AE0C1E" w:rsidRDefault="005A030C" w:rsidP="00AE0C1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E0C1E">
        <w:rPr>
          <w:rFonts w:ascii="Times New Roman" w:eastAsia="宋体" w:hAnsi="Times New Roman" w:cs="Times New Roman"/>
          <w:sz w:val="24"/>
          <w:szCs w:val="24"/>
        </w:rPr>
        <w:t>ACM Transactions on Information and Systems Security, Vol. 11, No. 2, Article 8, Pub. date: May 2008.</w:t>
      </w:r>
    </w:p>
    <w:p w:rsidR="00F950D4" w:rsidRDefault="00F950D4" w:rsidP="00ED43BE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黑体" w:eastAsia="黑体" w:hAnsi="黑体" w:cs="ArialMT"/>
          <w:b/>
          <w:kern w:val="0"/>
          <w:sz w:val="30"/>
          <w:szCs w:val="30"/>
        </w:rPr>
      </w:pPr>
    </w:p>
    <w:p w:rsidR="005A030C" w:rsidRPr="00347BA7" w:rsidRDefault="005A030C" w:rsidP="00ED43BE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lastRenderedPageBreak/>
        <w:t>Provably Secure Time</w:t>
      </w:r>
      <w:r w:rsidR="00ED43BE"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d-Release Public Key Encryption</w:t>
      </w: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· 8: 3</w:t>
      </w:r>
    </w:p>
    <w:p w:rsidR="005A030C" w:rsidRPr="00C92494" w:rsidRDefault="005A030C" w:rsidP="00C9249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2494">
        <w:rPr>
          <w:rFonts w:ascii="Times New Roman" w:eastAsia="宋体" w:hAnsi="Times New Roman" w:cs="Times New Roman"/>
          <w:sz w:val="24"/>
          <w:szCs w:val="24"/>
        </w:rPr>
        <w:t>Our results also cast new light on several previous schemes that appear in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the literature: each can be seen as an adaptation of a known key-insulated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encryption scheme. For example, Rivest et al. [1996] propose that the agent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could encrypt messages on request with a secret key which will be published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on a designated date by the agent, or the agent can precompute pairs of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public/private keys, publish all public keys and release the private keys on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the required days; these exactly fit known key-insulated schemes appearing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in the literature. The scheme of Crescenzo et al. [1999] essentially replaces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publication of the key with publication of the message, requiring the receiver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to engage in a conditional oblivious transfer protocol with the agent to decrypt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the message. In Chen et al. [2002], the authors proposed to use Boneh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and Franklin’s IBE scheme [Boneh and Franklin 2003] for timed-release encryption:</w:t>
      </w:r>
    </w:p>
    <w:p w:rsidR="005A030C" w:rsidRPr="00C92494" w:rsidRDefault="005A030C" w:rsidP="00C92494">
      <w:pPr>
        <w:spacing w:before="60" w:afterLines="50" w:after="156"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C92494">
        <w:rPr>
          <w:rFonts w:ascii="Times New Roman" w:eastAsia="宋体" w:hAnsi="Times New Roman" w:cs="Times New Roman"/>
          <w:sz w:val="24"/>
          <w:szCs w:val="24"/>
        </w:rPr>
        <w:t>essentially, the scheme replaces the identity in an IBE scheme with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the time of decryption. Similar proposals appear in Marco Casassa Mont and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Sadler [2003] and Blake and Chan [2005].</w:t>
      </w:r>
    </w:p>
    <w:p w:rsidR="005A030C" w:rsidRPr="00C92494" w:rsidRDefault="005A030C" w:rsidP="00C9249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92494">
        <w:rPr>
          <w:rFonts w:ascii="Times New Roman" w:eastAsia="宋体" w:hAnsi="Times New Roman" w:cs="Times New Roman"/>
          <w:sz w:val="24"/>
          <w:szCs w:val="24"/>
        </w:rPr>
        <w:t>While some of the above proposals contain informal proofs of security, none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of them consider and/or give a formal treatment of the security properties of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timed-release public key encryption (or TR-PKE). The first formal treatments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of TR-PKE security were displayed in Cheon et al. [2004] and then strengthened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in Cheon et al. [2006]. Independently, Cathalo et al. [2005] introduce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another notion of timed-release security and argue that it is not implied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by key-insulated encryption; however, this seems to be a side effect of an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overly-restrictive model in which a user must commit to a specific decryption</w:t>
      </w:r>
      <w:r w:rsidR="00C9249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92494">
        <w:rPr>
          <w:rFonts w:ascii="Times New Roman" w:eastAsia="宋体" w:hAnsi="Times New Roman" w:cs="Times New Roman"/>
          <w:sz w:val="24"/>
          <w:szCs w:val="24"/>
        </w:rPr>
        <w:t>agent before choosing his public key.</w:t>
      </w:r>
    </w:p>
    <w:p w:rsidR="005A030C" w:rsidRPr="005470CB" w:rsidRDefault="005A030C" w:rsidP="005470CB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470CB">
        <w:rPr>
          <w:rFonts w:ascii="Times New Roman" w:eastAsia="宋体" w:hAnsi="Times New Roman" w:cs="Times New Roman"/>
          <w:sz w:val="24"/>
          <w:szCs w:val="24"/>
        </w:rPr>
        <w:t>Authentication for Timed-Release Encryption. Many of the applications of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timed-release cryptographymentioned above require some form of authentication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as well. For example, if there is no authentication of bids in a sealed-bid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auction, any bidder may be able to forge bids for others, or force the auction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to fail by submitting an unreasonably high bid. In this article, we consider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the security properties required by these applications and develop formal security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conditions for a Timed-Release Public Key Authenticated Encryption</w:t>
      </w:r>
      <w:r w:rsidR="005470C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470CB">
        <w:rPr>
          <w:rFonts w:ascii="Times New Roman" w:eastAsia="宋体" w:hAnsi="Times New Roman" w:cs="Times New Roman"/>
          <w:sz w:val="24"/>
          <w:szCs w:val="24"/>
        </w:rPr>
        <w:t>(TR-PKAE) scheme.</w:t>
      </w:r>
    </w:p>
    <w:p w:rsidR="005A030C" w:rsidRPr="005F1972" w:rsidRDefault="005A030C" w:rsidP="005F1972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1972">
        <w:rPr>
          <w:rFonts w:ascii="Times New Roman" w:eastAsia="宋体" w:hAnsi="Times New Roman" w:cs="Times New Roman"/>
          <w:sz w:val="24"/>
          <w:szCs w:val="24"/>
        </w:rPr>
        <w:t>One avenue for developing a TR-PKAE scheme would be composing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an unauthenticated TR-PKE scheme with either a signature scheme or a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(non-timed-release) PKAE scheme. Although such constructions are possible,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 xml:space="preserve">we note that the details of this </w:t>
      </w:r>
      <w:r w:rsidRPr="005F1972">
        <w:rPr>
          <w:rFonts w:ascii="Times New Roman" w:eastAsia="宋体" w:hAnsi="Times New Roman" w:cs="Times New Roman"/>
          <w:sz w:val="24"/>
          <w:szCs w:val="24"/>
        </w:rPr>
        <w:lastRenderedPageBreak/>
        <w:t>composition are not trivial; examples from An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[2001] and Dodis and Katz [2005] illustrate that naive constructions can fail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to provide the expected security properties. Additionally, we note that such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schemes are likely to suffer a performance penalty relative to a scheme based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on a single primitive. Thus, besides introducing a generic construction, we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also introduce a provably secure construction of a TR-PKAE scheme that is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essentially as efficient as previous constructions of non-authenticated TR-PKE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schemes [Chen et al. 2002; Marco Casassa Mont and Sadler 2003; Blake and</w:t>
      </w:r>
      <w:r w:rsidR="005F197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F1972">
        <w:rPr>
          <w:rFonts w:ascii="Times New Roman" w:eastAsia="宋体" w:hAnsi="Times New Roman" w:cs="Times New Roman"/>
          <w:sz w:val="24"/>
          <w:szCs w:val="24"/>
        </w:rPr>
        <w:t>Chan 2005].</w:t>
      </w:r>
    </w:p>
    <w:p w:rsidR="005A030C" w:rsidRPr="005F1972" w:rsidRDefault="005A030C" w:rsidP="005F1972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1972">
        <w:rPr>
          <w:rFonts w:ascii="Times New Roman" w:eastAsia="宋体" w:hAnsi="Times New Roman" w:cs="Times New Roman"/>
          <w:sz w:val="24"/>
          <w:szCs w:val="24"/>
        </w:rPr>
        <w:t>ACM Transactions on Information and Systems Security, Vol. 11, No. 2, Article 8, Pub. date: May 2008.</w:t>
      </w:r>
    </w:p>
    <w:p w:rsidR="005A030C" w:rsidRPr="00347BA7" w:rsidRDefault="005A030C" w:rsidP="00965C0A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8: 4 · J. H. Cheon et al.</w:t>
      </w:r>
    </w:p>
    <w:p w:rsidR="005A030C" w:rsidRPr="00347BA7" w:rsidRDefault="005A030C" w:rsidP="00965C0A">
      <w:pPr>
        <w:autoSpaceDE w:val="0"/>
        <w:autoSpaceDN w:val="0"/>
        <w:adjustRightInd w:val="0"/>
        <w:spacing w:before="100" w:afterLines="50" w:after="156"/>
        <w:jc w:val="left"/>
        <w:outlineLvl w:val="1"/>
        <w:rPr>
          <w:rFonts w:ascii="Times New Roman" w:eastAsia="黑体" w:hAnsi="Times New Roman" w:cs="Times New Roman"/>
          <w:b/>
          <w:kern w:val="0"/>
          <w:sz w:val="28"/>
          <w:szCs w:val="28"/>
        </w:rPr>
      </w:pPr>
      <w:r w:rsidRPr="00347BA7">
        <w:rPr>
          <w:rFonts w:ascii="Times New Roman" w:eastAsia="黑体" w:hAnsi="Times New Roman" w:cs="Times New Roman"/>
          <w:b/>
          <w:kern w:val="0"/>
          <w:sz w:val="28"/>
          <w:szCs w:val="28"/>
        </w:rPr>
        <w:t>2. DEFINITIONS</w:t>
      </w:r>
    </w:p>
    <w:p w:rsidR="005A030C" w:rsidRPr="00965C0A" w:rsidRDefault="005A030C" w:rsidP="00965C0A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5C0A">
        <w:rPr>
          <w:rFonts w:ascii="Times New Roman" w:eastAsia="宋体" w:hAnsi="Times New Roman" w:cs="Times New Roman"/>
          <w:sz w:val="24"/>
          <w:szCs w:val="24"/>
        </w:rPr>
        <w:t>In this section we review security definitions that will be used in the article. In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>addition, we introduce new definitions, namely, those of timed-release public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>key encryption (TR-PKE) and authenticated TR-PKE (TR-PKAE).</w:t>
      </w:r>
    </w:p>
    <w:p w:rsidR="005A030C" w:rsidRPr="00965C0A" w:rsidRDefault="005A030C" w:rsidP="00965C0A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5C0A">
        <w:rPr>
          <w:rFonts w:ascii="Times New Roman" w:eastAsia="宋体" w:hAnsi="Times New Roman" w:cs="Times New Roman"/>
          <w:sz w:val="24"/>
          <w:szCs w:val="24"/>
        </w:rPr>
        <w:t>Identity Based Encryption. Formally, we define an IBE scheme IBES to be a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>tuple of four randomized algorithms:</w:t>
      </w:r>
    </w:p>
    <w:p w:rsidR="005A030C" w:rsidRPr="00965C0A" w:rsidRDefault="005A030C" w:rsidP="00965C0A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65C0A">
        <w:rPr>
          <w:rFonts w:ascii="Times New Roman" w:eastAsia="宋体" w:hAnsi="Times New Roman" w:cs="Times New Roman"/>
          <w:sz w:val="24"/>
          <w:szCs w:val="24"/>
        </w:rPr>
        <w:t>—SetupIBE(1k), which given input 1k (the security parameter), produces public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 xml:space="preserve">parameters </w:t>
      </w:r>
      <w:r w:rsidRPr="00965C0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965C0A">
        <w:rPr>
          <w:rFonts w:ascii="Times New Roman" w:eastAsia="宋体" w:hAnsi="Times New Roman" w:cs="Times New Roman"/>
          <w:sz w:val="24"/>
          <w:szCs w:val="24"/>
        </w:rPr>
        <w:t>IBE, which include hash functions, message and ciphertext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 xml:space="preserve">spaces among others. In addition, master secret </w:t>
      </w:r>
      <w:r w:rsidRPr="00965C0A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965C0A">
        <w:rPr>
          <w:rFonts w:ascii="Times New Roman" w:eastAsia="宋体" w:hAnsi="Times New Roman" w:cs="Times New Roman"/>
          <w:sz w:val="24"/>
          <w:szCs w:val="24"/>
        </w:rPr>
        <w:t>IBE is generated which is</w:t>
      </w:r>
      <w:r w:rsidR="00965C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65C0A">
        <w:rPr>
          <w:rFonts w:ascii="Times New Roman" w:eastAsia="宋体" w:hAnsi="Times New Roman" w:cs="Times New Roman"/>
          <w:sz w:val="24"/>
          <w:szCs w:val="24"/>
        </w:rPr>
        <w:t>kept confidential by the central authority.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—ExtractIBE(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IBE,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IBE, I), given public parameters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IBE, master secret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EE557C">
        <w:rPr>
          <w:rFonts w:ascii="Times New Roman" w:eastAsia="宋体" w:hAnsi="Times New Roman" w:cs="Times New Roman"/>
          <w:sz w:val="24"/>
          <w:szCs w:val="24"/>
        </w:rPr>
        <w:t>IBE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and identity I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∈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 {0, 1}</w:t>
      </w:r>
      <w:r w:rsidRPr="00EE557C">
        <w:rPr>
          <w:rFonts w:ascii="MS Gothic" w:eastAsia="MS Gothic" w:hAnsi="MS Gothic" w:cs="MS Gothic" w:hint="eastAsia"/>
          <w:sz w:val="24"/>
          <w:szCs w:val="24"/>
        </w:rPr>
        <w:t>∗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, outputs a secret key skI . The I (together with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IBE)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serves as the public key corresponding to identity I.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—EncryptIBE(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IBE, I,m) computes the ciphertext c denoting the encryption for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identity I of message mwith public parameters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—DecryptIBE(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IBE, skI ,bc) outputs the plaintext corresponding tobc if decryption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is successful or the special symbol “fail” otherwise.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For consistency, we require that DecryptIBE(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IBE, skI ,EncryptIBE(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>IBE, I,m)) =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m, for all valid (I, skI ), (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IBE, </w:t>
      </w:r>
      <w:r w:rsidRPr="00EE557C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EE557C">
        <w:rPr>
          <w:rFonts w:ascii="Times New Roman" w:eastAsia="宋体" w:hAnsi="Times New Roman" w:cs="Times New Roman"/>
          <w:sz w:val="24"/>
          <w:szCs w:val="24"/>
        </w:rPr>
        <w:t>IBE), and m.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We use the IND-ID-CCA notion of security for and IBE scheme [Boneh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 xml:space="preserve">and Franklin 2003]. Briefly, in this case, an adversary may </w:t>
      </w:r>
      <w:r w:rsidRPr="00EE557C">
        <w:rPr>
          <w:rFonts w:ascii="Times New Roman" w:eastAsia="宋体" w:hAnsi="Times New Roman" w:cs="Times New Roman"/>
          <w:sz w:val="24"/>
          <w:szCs w:val="24"/>
        </w:rPr>
        <w:lastRenderedPageBreak/>
        <w:t>adaptively ask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for secret keys corresponding to arbitrary identities, and may also ask for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decryption of any ciphertext using any identity. Eventually the adversary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presents a “challenge identity” and a pair of “challenge plaintexts” and is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given the encryption of one of these plaintexts under the challenge identity.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The adversary may then continue to ask for secret keys and decryptions,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except that it cannot query for the secret key of the challenge identity or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for decryption of the challenge ciphertext under the challenge identity. The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adversary wins if it can correctly guess which of the challenge ciphertexts was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encrypted by the challenger, and the scheme is secure if no polynomial time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adversary wins with an advantage non-negligibly greater than one half.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Public Key Encryption. A public key encryption system PKE consists of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three algorithms: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—KeyGenPKE, which on input 1k, outputs public/private key pair (pk, sk). The</w:t>
      </w:r>
      <w:r w:rsidR="00EE557C" w:rsidRP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public key also includes public parameters needed for encryption/decryption.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—EncryptPKE, which on input of pk and message m, outputs ciphertext c.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—DecryptPKE, which on input of ciphertextbc and private key sk, outputs either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some message bmor failure symbol.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For consistency, it is required that DecryptPKE(sk,EncryptPKE(pk,m)) = m, for</w:t>
      </w:r>
      <w:r w:rsidR="00EE557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557C">
        <w:rPr>
          <w:rFonts w:ascii="Times New Roman" w:eastAsia="宋体" w:hAnsi="Times New Roman" w:cs="Times New Roman"/>
          <w:sz w:val="24"/>
          <w:szCs w:val="24"/>
        </w:rPr>
        <w:t>all valid (pk, sk) and m.</w:t>
      </w:r>
    </w:p>
    <w:p w:rsidR="005A030C" w:rsidRPr="00EE557C" w:rsidRDefault="005A030C" w:rsidP="00EE557C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557C">
        <w:rPr>
          <w:rFonts w:ascii="Times New Roman" w:eastAsia="宋体" w:hAnsi="Times New Roman" w:cs="Times New Roman"/>
          <w:sz w:val="24"/>
          <w:szCs w:val="24"/>
        </w:rPr>
        <w:t>ACM Transactions on Information and Systems Security, Vol. 11, No. 2, Article 8, Pub. date: May 2008.</w:t>
      </w:r>
    </w:p>
    <w:p w:rsidR="005A030C" w:rsidRPr="00347BA7" w:rsidRDefault="005A030C" w:rsidP="00EE557C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Provably Secure Time</w:t>
      </w:r>
      <w:r w:rsidR="00EE557C"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d-Release Public Key Encryption</w:t>
      </w: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t>· 8: 5</w:t>
      </w:r>
    </w:p>
    <w:p w:rsidR="005A030C" w:rsidRPr="00D40245" w:rsidRDefault="005A030C" w:rsidP="00D40245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40245">
        <w:rPr>
          <w:rFonts w:ascii="Times New Roman" w:eastAsia="宋体" w:hAnsi="Times New Roman" w:cs="Times New Roman"/>
          <w:sz w:val="24"/>
          <w:szCs w:val="24"/>
        </w:rPr>
        <w:t>We make use of a PKE that is IND-CCA2 secure against adaptive adversary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as described in Bellare et al. [1998]. Briefly, th</w:t>
      </w:r>
      <w:r w:rsidR="00D40245">
        <w:rPr>
          <w:rFonts w:ascii="Times New Roman" w:eastAsia="宋体" w:hAnsi="Times New Roman" w:cs="Times New Roman"/>
          <w:sz w:val="24"/>
          <w:szCs w:val="24"/>
        </w:rPr>
        <w:t xml:space="preserve">e challenger generates a public </w:t>
      </w:r>
      <w:r w:rsidRPr="00D40245">
        <w:rPr>
          <w:rFonts w:ascii="Times New Roman" w:eastAsia="宋体" w:hAnsi="Times New Roman" w:cs="Times New Roman"/>
          <w:sz w:val="24"/>
          <w:szCs w:val="24"/>
        </w:rPr>
        <w:t>private key pair and gives the public key to the adversary. The adversary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is allowed to query for the decryption of any ciphertext using the private key.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In the challenge step, the adversary produces a pair of challenge plaintexts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and is given the encryption of one of the pair. The adversary wins if, given the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ability to query the decryption of any message but the challenge ciphertext, it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can correctly guess which of the two plaintexts was encrypted in the challenge</w:t>
      </w:r>
      <w:r w:rsidR="00D4024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40245">
        <w:rPr>
          <w:rFonts w:ascii="Times New Roman" w:eastAsia="宋体" w:hAnsi="Times New Roman" w:cs="Times New Roman"/>
          <w:sz w:val="24"/>
          <w:szCs w:val="24"/>
        </w:rPr>
        <w:t>step.</w:t>
      </w:r>
    </w:p>
    <w:p w:rsidR="005A030C" w:rsidRPr="005A2520" w:rsidRDefault="005A030C" w:rsidP="005A2520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A2520">
        <w:rPr>
          <w:rFonts w:ascii="Times New Roman" w:eastAsia="宋体" w:hAnsi="Times New Roman" w:cs="Times New Roman"/>
          <w:sz w:val="24"/>
          <w:szCs w:val="24"/>
        </w:rPr>
        <w:t>We note that given a secure IBES, we can easily obtain a secure PKE. For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that purpose, each user simply runs IBES’s SetupIBE and ExtractIBE, using an</w:t>
      </w:r>
      <w:r w:rsidR="005A252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arbitrary identity I, to obtain its public key and private key (i.e., the master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 xml:space="preserve">secret key in IBES). The identity I along </w:t>
      </w:r>
      <w:r w:rsidRPr="005A2520">
        <w:rPr>
          <w:rFonts w:ascii="Times New Roman" w:eastAsia="宋体" w:hAnsi="Times New Roman" w:cs="Times New Roman"/>
          <w:sz w:val="24"/>
          <w:szCs w:val="24"/>
        </w:rPr>
        <w:lastRenderedPageBreak/>
        <w:t>with IBES’s public parameters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serves as user’s public key, while the master secret key serves as the private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key. A straightforward argument shows that if IBES is IND-ID-CCA secure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then the corresponding PKE is IND-CCA2 secure. However, since in practical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applications we expect one to use more efficient PKE constructions, we make</w:t>
      </w:r>
      <w:r w:rsidR="005A25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A2520">
        <w:rPr>
          <w:rFonts w:ascii="Times New Roman" w:eastAsia="宋体" w:hAnsi="Times New Roman" w:cs="Times New Roman"/>
          <w:sz w:val="24"/>
          <w:szCs w:val="24"/>
        </w:rPr>
        <w:t>use of separate IBE and PKE schemes in this article.</w:t>
      </w:r>
    </w:p>
    <w:p w:rsidR="005A030C" w:rsidRPr="00B10A84" w:rsidRDefault="005A030C" w:rsidP="00B10A8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0A84">
        <w:rPr>
          <w:rFonts w:ascii="Times New Roman" w:eastAsia="宋体" w:hAnsi="Times New Roman" w:cs="Times New Roman"/>
          <w:sz w:val="24"/>
          <w:szCs w:val="24"/>
        </w:rPr>
        <w:t>Digital Signatures and Labels. In addition to the above primitives, we will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also use signature schemes. We start with review of standard signatures first.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A signature scheme DS consists of three algorithms:</w:t>
      </w:r>
    </w:p>
    <w:p w:rsidR="005A030C" w:rsidRPr="00B10A84" w:rsidRDefault="005A030C" w:rsidP="00B10A8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0A84">
        <w:rPr>
          <w:rFonts w:ascii="Times New Roman" w:eastAsia="宋体" w:hAnsi="Times New Roman" w:cs="Times New Roman"/>
          <w:sz w:val="24"/>
          <w:szCs w:val="24"/>
        </w:rPr>
        <w:t>—SigGen, which on input 1k, outputs signing/verification key pair (SK, VK).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The VK also includes also public parameters such as the message space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among others.</w:t>
      </w:r>
    </w:p>
    <w:p w:rsidR="005A030C" w:rsidRPr="00B10A84" w:rsidRDefault="005A030C" w:rsidP="00B10A8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—Sig, which on input SK and message m, outputs signature </w:t>
      </w:r>
      <w:r w:rsidR="008173A2" w:rsidRP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>.</w:t>
      </w:r>
    </w:p>
    <w:p w:rsidR="005A030C" w:rsidRPr="00B10A84" w:rsidRDefault="005A030C" w:rsidP="00B10A8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—Ver, which on input message m, signature </w:t>
      </w:r>
      <w:r w:rsidR="008173A2" w:rsidRP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 and VK, outputs either true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or false.</w:t>
      </w:r>
    </w:p>
    <w:p w:rsidR="005A030C" w:rsidRPr="00B10A84" w:rsidRDefault="005A030C" w:rsidP="00B10A84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10A84">
        <w:rPr>
          <w:rFonts w:ascii="Times New Roman" w:eastAsia="宋体" w:hAnsi="Times New Roman" w:cs="Times New Roman"/>
          <w:sz w:val="24"/>
          <w:szCs w:val="24"/>
        </w:rPr>
        <w:t>For consistency, it is required that for every valid pair (SK, VK) and message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m, VerVK(m, SigSK(m)) = true. We will use the notion of strong unforgeability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under adaptive chosen plaintext attacks (SUF-CMA). Briefly, the challenger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>generates a (SK, VK) pair and gives the VK to the adversary. The adversary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is given signatures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1,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2, . . . ,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>q on adaptively chosen messages m1,m2, . . . ,mq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and outputs a pair (m,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). The adversary wins if (m,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>) is a valid message</w:t>
      </w:r>
      <w:r w:rsidR="00B10A8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10A84">
        <w:rPr>
          <w:rFonts w:ascii="Times New Roman" w:eastAsia="宋体" w:hAnsi="Times New Roman" w:cs="Times New Roman"/>
          <w:sz w:val="24"/>
          <w:szCs w:val="24"/>
        </w:rPr>
        <w:t xml:space="preserve">signature pair and is not equal to any pair (mi, </w:t>
      </w:r>
      <w:r w:rsidR="008173A2">
        <w:rPr>
          <w:rFonts w:ascii="Times New Roman" w:eastAsia="宋体" w:hAnsi="Times New Roman" w:cs="Times New Roman"/>
          <w:sz w:val="24"/>
          <w:szCs w:val="24"/>
        </w:rPr>
        <w:t>σ</w:t>
      </w:r>
      <w:r w:rsidRPr="00B10A84">
        <w:rPr>
          <w:rFonts w:ascii="Times New Roman" w:eastAsia="宋体" w:hAnsi="Times New Roman" w:cs="Times New Roman"/>
          <w:sz w:val="24"/>
          <w:szCs w:val="24"/>
        </w:rPr>
        <w:t>i).</w:t>
      </w:r>
    </w:p>
    <w:p w:rsidR="005A030C" w:rsidRPr="00A83187" w:rsidRDefault="005A030C" w:rsidP="00A8318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3187">
        <w:rPr>
          <w:rFonts w:ascii="Times New Roman" w:eastAsia="宋体" w:hAnsi="Times New Roman" w:cs="Times New Roman"/>
          <w:sz w:val="24"/>
          <w:szCs w:val="24"/>
        </w:rPr>
        <w:t>Beside standard signatures, we will also use one-time signatures which are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defined analogously, except that in SUF-CMA the adversary is allowed to make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only one query. Any public-key signature that is SUF-CMA secure is also a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secure one-time signature. However, the opposite is obviously not true and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one-time signatures are generally much more efficient.</w:t>
      </w:r>
    </w:p>
    <w:p w:rsidR="00A83187" w:rsidRDefault="005A030C" w:rsidP="00A8318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3187">
        <w:rPr>
          <w:rFonts w:ascii="Times New Roman" w:eastAsia="宋体" w:hAnsi="Times New Roman" w:cs="Times New Roman"/>
          <w:sz w:val="24"/>
          <w:szCs w:val="24"/>
        </w:rPr>
        <w:t>We can also add public labels to IBE and PKE encryption/decryptionmechanisms,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which are bound in a nonmalleable way to the ciphertext [Shoup 2004]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while preserving security. In effect, ciphertext generation additionally takes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>as input a label, which becomes part of the ciphertext. When decrypting, one</w:t>
      </w:r>
      <w:r w:rsidR="00A8318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83187">
        <w:rPr>
          <w:rFonts w:ascii="Times New Roman" w:eastAsia="宋体" w:hAnsi="Times New Roman" w:cs="Times New Roman"/>
          <w:sz w:val="24"/>
          <w:szCs w:val="24"/>
        </w:rPr>
        <w:t xml:space="preserve">applies not only the decryption key but also the public label. </w:t>
      </w:r>
    </w:p>
    <w:p w:rsidR="005A030C" w:rsidRPr="00A83187" w:rsidRDefault="005A030C" w:rsidP="00A8318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83187">
        <w:rPr>
          <w:rFonts w:ascii="Times New Roman" w:eastAsia="宋体" w:hAnsi="Times New Roman" w:cs="Times New Roman"/>
          <w:sz w:val="24"/>
          <w:szCs w:val="24"/>
        </w:rPr>
        <w:t>ACM Transactions on Information and Systems Security, Vol. 11, No. 2, Article 8, Pub. date: May 2008.</w:t>
      </w:r>
    </w:p>
    <w:p w:rsidR="00A003F2" w:rsidRDefault="00A003F2" w:rsidP="00645342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黑体" w:eastAsia="黑体" w:hAnsi="黑体" w:cs="ArialMT"/>
          <w:b/>
          <w:kern w:val="0"/>
          <w:sz w:val="30"/>
          <w:szCs w:val="30"/>
        </w:rPr>
      </w:pPr>
    </w:p>
    <w:p w:rsidR="00645342" w:rsidRPr="00347BA7" w:rsidRDefault="005A030C" w:rsidP="00645342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Times New Roman" w:eastAsia="黑体" w:hAnsi="Times New Roman" w:cs="Times New Roman"/>
          <w:b/>
          <w:kern w:val="0"/>
          <w:sz w:val="30"/>
          <w:szCs w:val="30"/>
        </w:rPr>
      </w:pPr>
      <w:r w:rsidRPr="00347BA7">
        <w:rPr>
          <w:rFonts w:ascii="Times New Roman" w:eastAsia="黑体" w:hAnsi="Times New Roman" w:cs="Times New Roman"/>
          <w:b/>
          <w:kern w:val="0"/>
          <w:sz w:val="30"/>
          <w:szCs w:val="30"/>
        </w:rPr>
        <w:lastRenderedPageBreak/>
        <w:t>8: 6 · J. H. Cheon et al.</w:t>
      </w:r>
    </w:p>
    <w:p w:rsidR="005A030C" w:rsidRPr="00645342" w:rsidRDefault="005A030C" w:rsidP="00645342">
      <w:pPr>
        <w:autoSpaceDE w:val="0"/>
        <w:autoSpaceDN w:val="0"/>
        <w:adjustRightInd w:val="0"/>
        <w:spacing w:before="120" w:afterLines="100" w:after="312"/>
        <w:jc w:val="left"/>
        <w:outlineLvl w:val="0"/>
        <w:rPr>
          <w:rFonts w:ascii="黑体" w:eastAsia="黑体" w:hAnsi="黑体" w:cs="ArialMT"/>
          <w:b/>
          <w:kern w:val="0"/>
          <w:sz w:val="30"/>
          <w:szCs w:val="30"/>
        </w:rPr>
      </w:pPr>
      <w:r w:rsidRPr="00AF39E0">
        <w:rPr>
          <w:rFonts w:ascii="ArialMT" w:hAnsi="ArialMT" w:cs="ArialMT"/>
          <w:kern w:val="0"/>
          <w:sz w:val="20"/>
          <w:szCs w:val="20"/>
        </w:rPr>
        <w:t>and IND-CCA2 games can be modified in a natural way to take labels into</w:t>
      </w:r>
      <w:r w:rsidR="00645342">
        <w:rPr>
          <w:rFonts w:ascii="黑体" w:eastAsia="黑体" w:hAnsi="黑体" w:cs="ArialMT" w:hint="eastAsia"/>
          <w:b/>
          <w:kern w:val="0"/>
          <w:sz w:val="30"/>
          <w:szCs w:val="30"/>
        </w:rPr>
        <w:t xml:space="preserve"> </w:t>
      </w:r>
      <w:r w:rsidRPr="00AF39E0">
        <w:rPr>
          <w:rFonts w:ascii="ArialMT" w:hAnsi="ArialMT" w:cs="ArialMT"/>
          <w:kern w:val="0"/>
          <w:sz w:val="20"/>
          <w:szCs w:val="20"/>
        </w:rPr>
        <w:t>account.</w:t>
      </w:r>
    </w:p>
    <w:p w:rsidR="005A030C" w:rsidRPr="00347BA7" w:rsidRDefault="00F55738" w:rsidP="00347BA7">
      <w:pPr>
        <w:autoSpaceDE w:val="0"/>
        <w:autoSpaceDN w:val="0"/>
        <w:adjustRightInd w:val="0"/>
        <w:spacing w:before="100" w:afterLines="50" w:after="156"/>
        <w:jc w:val="left"/>
        <w:outlineLvl w:val="1"/>
        <w:rPr>
          <w:rFonts w:ascii="Times New Roman" w:eastAsia="黑体" w:hAnsi="Times New Roman" w:cs="Times New Roman"/>
          <w:b/>
          <w:kern w:val="0"/>
          <w:sz w:val="28"/>
          <w:szCs w:val="28"/>
        </w:rPr>
      </w:pPr>
      <w:r>
        <w:rPr>
          <w:rFonts w:ascii="Times New Roman" w:eastAsia="黑体" w:hAnsi="Times New Roman" w:cs="Times New Roman"/>
          <w:b/>
          <w:kern w:val="0"/>
          <w:sz w:val="28"/>
          <w:szCs w:val="28"/>
        </w:rPr>
        <w:t xml:space="preserve">1 </w:t>
      </w:r>
      <w:r w:rsidR="005A030C" w:rsidRPr="00347BA7">
        <w:rPr>
          <w:rFonts w:ascii="Times New Roman" w:eastAsia="黑体" w:hAnsi="Times New Roman" w:cs="Times New Roman"/>
          <w:b/>
          <w:kern w:val="0"/>
          <w:sz w:val="28"/>
          <w:szCs w:val="28"/>
        </w:rPr>
        <w:t>Timed-Release Public Key Encryption (TR-PKE)</w:t>
      </w:r>
    </w:p>
    <w:p w:rsidR="005A030C" w:rsidRPr="00F17320" w:rsidRDefault="005A030C" w:rsidP="00F17320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17320">
        <w:rPr>
          <w:rFonts w:ascii="Times New Roman" w:eastAsia="宋体" w:hAnsi="Times New Roman" w:cs="Times New Roman"/>
          <w:sz w:val="24"/>
          <w:szCs w:val="24"/>
        </w:rPr>
        <w:t>In this section we formalize the functionality and security requirements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for a timed-release public key encryption system. These requirements are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meant to capture the implicit security requirements not addressed in previous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work [May 1993; Rivest et al. 1996; Chen et al. 2002; Marco Casassa Mont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and Sadler 2003; Blake and Chan 2005]; in particular they do not address the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authentication requirements, which we add in Section 2.3. Informally, we can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think of any principal in a TR-PKE system as filling one or more of three roles.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The timed-release agent—or TiPuS (TImed-release PUblic Server)—publishes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a timed-release public key and releases “tokens” that allow decryption of messages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encrypted for the current time at regular intervals. The receiver publishes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a public key that allows others to encrypt messages so that only he can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decrypt them, using a secret key that he keeps private, and the appropriate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timed-release token. The sender uses the receiver’s public key and the TiPuS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public key to encrypt messages that can later be decrypted at the time of his</w:t>
      </w:r>
      <w:r w:rsidR="00F1732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17320">
        <w:rPr>
          <w:rFonts w:ascii="Times New Roman" w:eastAsia="宋体" w:hAnsi="Times New Roman" w:cs="Times New Roman"/>
          <w:sz w:val="24"/>
          <w:szCs w:val="24"/>
        </w:rPr>
        <w:t>choice.</w:t>
      </w:r>
    </w:p>
    <w:p w:rsidR="005A030C" w:rsidRPr="00347BA7" w:rsidRDefault="00F55738" w:rsidP="00347BA7">
      <w:pPr>
        <w:autoSpaceDE w:val="0"/>
        <w:autoSpaceDN w:val="0"/>
        <w:adjustRightInd w:val="0"/>
        <w:spacing w:before="60" w:afterLines="50" w:after="156"/>
        <w:jc w:val="left"/>
        <w:rPr>
          <w:rFonts w:ascii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</w:rPr>
        <w:t>1.1</w:t>
      </w:r>
      <w:r w:rsidRPr="008F3817">
        <w:rPr>
          <w:rFonts w:ascii="Times New Roman" w:hAnsi="Times New Roman" w:cs="Times New Roman"/>
          <w:b/>
          <w:kern w:val="0"/>
          <w:sz w:val="28"/>
          <w:szCs w:val="28"/>
        </w:rPr>
        <w:t xml:space="preserve"> </w:t>
      </w:r>
      <w:r w:rsidR="005A030C" w:rsidRPr="008F3817">
        <w:rPr>
          <w:rFonts w:ascii="Times New Roman" w:hAnsi="Times New Roman" w:cs="Times New Roman"/>
          <w:b/>
          <w:iCs/>
          <w:kern w:val="0"/>
          <w:sz w:val="28"/>
          <w:szCs w:val="28"/>
        </w:rPr>
        <w:t>Functional Requirements</w:t>
      </w:r>
      <w:r w:rsidR="005A030C" w:rsidRPr="00347BA7">
        <w:rPr>
          <w:rFonts w:ascii="Times New Roman" w:hAnsi="Times New Roman" w:cs="Times New Roman"/>
          <w:b/>
          <w:i/>
          <w:iCs/>
          <w:kern w:val="0"/>
          <w:sz w:val="28"/>
          <w:szCs w:val="28"/>
        </w:rPr>
        <w:t xml:space="preserve">. </w:t>
      </w:r>
      <w:r w:rsidR="005A030C" w:rsidRPr="00347BA7">
        <w:rPr>
          <w:rFonts w:ascii="Times New Roman" w:hAnsi="Times New Roman" w:cs="Times New Roman"/>
          <w:b/>
          <w:kern w:val="0"/>
          <w:sz w:val="28"/>
          <w:szCs w:val="28"/>
        </w:rPr>
        <w:t>Formally, we define a timed-release</w:t>
      </w:r>
    </w:p>
    <w:p w:rsidR="005A030C" w:rsidRPr="00347BA7" w:rsidRDefault="005A030C" w:rsidP="00347BA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7BA7">
        <w:rPr>
          <w:rFonts w:ascii="Times New Roman" w:eastAsia="宋体" w:hAnsi="Times New Roman" w:cs="Times New Roman"/>
          <w:sz w:val="24"/>
          <w:szCs w:val="24"/>
        </w:rPr>
        <w:t xml:space="preserve">public-key encryption system </w:t>
      </w:r>
      <w:r w:rsidRPr="00347BA7">
        <w:rPr>
          <w:rFonts w:ascii="Cambria" w:eastAsia="宋体" w:hAnsi="Cambria" w:cs="Cambria"/>
          <w:sz w:val="24"/>
          <w:szCs w:val="24"/>
        </w:rPr>
        <w:t>Ŵ</w:t>
      </w:r>
      <w:r w:rsidRPr="00347BA7">
        <w:rPr>
          <w:rFonts w:ascii="Times New Roman" w:eastAsia="宋体" w:hAnsi="Times New Roman" w:cs="Times New Roman"/>
          <w:sz w:val="24"/>
          <w:szCs w:val="24"/>
        </w:rPr>
        <w:t xml:space="preserve"> to be a tuple of five randomized algorithms:</w:t>
      </w:r>
    </w:p>
    <w:p w:rsidR="005A030C" w:rsidRPr="00347BA7" w:rsidRDefault="005A030C" w:rsidP="00347BA7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47BA7">
        <w:rPr>
          <w:rFonts w:ascii="Times New Roman" w:eastAsia="宋体" w:hAnsi="Times New Roman" w:cs="Times New Roman"/>
          <w:sz w:val="24"/>
          <w:szCs w:val="24"/>
        </w:rPr>
        <w:t>—Setup, which given input 1k (the security parameter), produces public parameters</w:t>
      </w:r>
      <w:r w:rsidR="00347B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113A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47BA7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347BA7">
        <w:rPr>
          <w:rFonts w:ascii="Times New Roman" w:eastAsia="宋体" w:hAnsi="Times New Roman" w:cs="Times New Roman"/>
          <w:sz w:val="24"/>
          <w:szCs w:val="24"/>
        </w:rPr>
        <w:t>g, which include hash funct</w:t>
      </w:r>
      <w:bookmarkStart w:id="0" w:name="_GoBack"/>
      <w:bookmarkEnd w:id="0"/>
      <w:r w:rsidRPr="00347BA7">
        <w:rPr>
          <w:rFonts w:ascii="Times New Roman" w:eastAsia="宋体" w:hAnsi="Times New Roman" w:cs="Times New Roman"/>
          <w:sz w:val="24"/>
          <w:szCs w:val="24"/>
        </w:rPr>
        <w:t>ions, message, and ciphertext spaces</w:t>
      </w:r>
      <w:r w:rsidR="00347BA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47BA7">
        <w:rPr>
          <w:rFonts w:ascii="Times New Roman" w:eastAsia="宋体" w:hAnsi="Times New Roman" w:cs="Times New Roman"/>
          <w:sz w:val="24"/>
          <w:szCs w:val="24"/>
        </w:rPr>
        <w:t>among others.</w:t>
      </w:r>
    </w:p>
    <w:p w:rsidR="005A030C" w:rsidRPr="000113AA" w:rsidRDefault="005A030C" w:rsidP="000113AA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—TRSetup, which on input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>g, produces a pair (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tr) where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 is a master secret</w:t>
      </w:r>
      <w:r w:rsidR="000113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>tr the corresponding timed-release public parameters. This setup is</w:t>
      </w:r>
      <w:r w:rsidR="000113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113AA">
        <w:rPr>
          <w:rFonts w:ascii="Times New Roman" w:eastAsia="宋体" w:hAnsi="Times New Roman" w:cs="Times New Roman"/>
          <w:sz w:val="24"/>
          <w:szCs w:val="24"/>
        </w:rPr>
        <w:t>carried out by TiPuS which keeps the master secret key confidential, while</w:t>
      </w:r>
      <w:r w:rsidR="000113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113AA">
        <w:rPr>
          <w:rFonts w:ascii="Times New Roman" w:eastAsia="宋体" w:hAnsi="Times New Roman" w:cs="Times New Roman"/>
          <w:sz w:val="24"/>
          <w:szCs w:val="24"/>
        </w:rPr>
        <w:t>all other parameters are public. We denote the combined public parameters</w:t>
      </w:r>
      <w:r w:rsidR="000113A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of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g and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 xml:space="preserve">tr by </w:t>
      </w:r>
      <w:r w:rsidRPr="000113AA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0113AA">
        <w:rPr>
          <w:rFonts w:ascii="Times New Roman" w:eastAsia="宋体" w:hAnsi="Times New Roman" w:cs="Times New Roman"/>
          <w:sz w:val="24"/>
          <w:szCs w:val="24"/>
        </w:rPr>
        <w:t>.</w:t>
      </w:r>
    </w:p>
    <w:p w:rsidR="005A030C" w:rsidRPr="00882E2D" w:rsidRDefault="005A030C" w:rsidP="00882E2D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82E2D">
        <w:rPr>
          <w:rFonts w:ascii="Times New Roman" w:eastAsia="宋体" w:hAnsi="Times New Roman" w:cs="Times New Roman"/>
          <w:sz w:val="24"/>
          <w:szCs w:val="24"/>
        </w:rPr>
        <w:t xml:space="preserve">—KeyGen, given public parameters </w:t>
      </w:r>
      <w:r w:rsidRPr="00882E2D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882E2D">
        <w:rPr>
          <w:rFonts w:ascii="Times New Roman" w:eastAsia="宋体" w:hAnsi="Times New Roman" w:cs="Times New Roman"/>
          <w:sz w:val="24"/>
          <w:szCs w:val="24"/>
        </w:rPr>
        <w:t>g, outputs a pair of secret key and public</w:t>
      </w:r>
      <w:r w:rsidR="00882E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82E2D">
        <w:rPr>
          <w:rFonts w:ascii="Times New Roman" w:eastAsia="宋体" w:hAnsi="Times New Roman" w:cs="Times New Roman"/>
          <w:sz w:val="24"/>
          <w:szCs w:val="24"/>
        </w:rPr>
        <w:t>key (sk, pk).</w:t>
      </w:r>
    </w:p>
    <w:p w:rsidR="005A030C" w:rsidRPr="001D72C0" w:rsidRDefault="005A030C" w:rsidP="001D72C0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D72C0">
        <w:rPr>
          <w:rFonts w:ascii="Times New Roman" w:eastAsia="宋体" w:hAnsi="Times New Roman" w:cs="Times New Roman"/>
          <w:sz w:val="24"/>
          <w:szCs w:val="24"/>
        </w:rPr>
        <w:t>—TG(</w:t>
      </w:r>
      <w:r w:rsidRPr="001D72C0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1D72C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D72C0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1D72C0">
        <w:rPr>
          <w:rFonts w:ascii="Times New Roman" w:eastAsia="宋体" w:hAnsi="Times New Roman" w:cs="Times New Roman"/>
          <w:sz w:val="24"/>
          <w:szCs w:val="24"/>
        </w:rPr>
        <w:t>, T) computes the token tknT corresponding to time T using (</w:t>
      </w:r>
      <w:r w:rsidRPr="001D72C0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1D72C0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D72C0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1D72C0">
        <w:rPr>
          <w:rFonts w:ascii="Times New Roman" w:eastAsia="宋体" w:hAnsi="Times New Roman" w:cs="Times New Roman"/>
          <w:sz w:val="24"/>
          <w:szCs w:val="24"/>
        </w:rPr>
        <w:t>).</w:t>
      </w:r>
      <w:r w:rsidR="001D72C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D72C0">
        <w:rPr>
          <w:rFonts w:ascii="Times New Roman" w:eastAsia="宋体" w:hAnsi="Times New Roman" w:cs="Times New Roman"/>
          <w:sz w:val="24"/>
          <w:szCs w:val="24"/>
        </w:rPr>
        <w:t>This functionality is performed by TiPuS which publishes tknT at time T.</w:t>
      </w:r>
    </w:p>
    <w:p w:rsidR="005A030C" w:rsidRPr="00B85BA2" w:rsidRDefault="005A030C" w:rsidP="00575F80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5BA2">
        <w:rPr>
          <w:rFonts w:ascii="Times New Roman" w:eastAsia="宋体" w:hAnsi="Times New Roman" w:cs="Times New Roman"/>
          <w:sz w:val="24"/>
          <w:szCs w:val="24"/>
        </w:rPr>
        <w:t>—Encrypt(</w:t>
      </w:r>
      <w:r w:rsidRPr="00B85BA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B85BA2">
        <w:rPr>
          <w:rFonts w:ascii="Times New Roman" w:eastAsia="宋体" w:hAnsi="Times New Roman" w:cs="Times New Roman"/>
          <w:sz w:val="24"/>
          <w:szCs w:val="24"/>
        </w:rPr>
        <w:t>, pk,m, T) computes the timed-release ciphertext c denoting the</w:t>
      </w:r>
      <w:r w:rsidR="00B85BA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85BA2">
        <w:rPr>
          <w:rFonts w:ascii="Times New Roman" w:eastAsia="宋体" w:hAnsi="Times New Roman" w:cs="Times New Roman"/>
          <w:sz w:val="24"/>
          <w:szCs w:val="24"/>
        </w:rPr>
        <w:t xml:space="preserve">encryption of message m using public key pk, public parameters </w:t>
      </w:r>
      <w:r w:rsidRPr="00B85BA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B85BA2">
        <w:rPr>
          <w:rFonts w:ascii="Times New Roman" w:eastAsia="宋体" w:hAnsi="Times New Roman" w:cs="Times New Roman"/>
          <w:sz w:val="24"/>
          <w:szCs w:val="24"/>
        </w:rPr>
        <w:t xml:space="preserve"> and time</w:t>
      </w:r>
      <w:r w:rsidR="00575F8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85BA2">
        <w:rPr>
          <w:rFonts w:ascii="Times New Roman" w:eastAsia="宋体" w:hAnsi="Times New Roman" w:cs="Times New Roman"/>
          <w:sz w:val="24"/>
          <w:szCs w:val="24"/>
        </w:rPr>
        <w:t>encoding T.</w:t>
      </w:r>
    </w:p>
    <w:p w:rsidR="005A030C" w:rsidRPr="007623EE" w:rsidRDefault="005A030C" w:rsidP="007623EE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3EE">
        <w:rPr>
          <w:rFonts w:ascii="Times New Roman" w:eastAsia="宋体" w:hAnsi="Times New Roman" w:cs="Times New Roman"/>
          <w:sz w:val="24"/>
          <w:szCs w:val="24"/>
        </w:rPr>
        <w:lastRenderedPageBreak/>
        <w:t>—Decrypt(</w:t>
      </w:r>
      <w:r w:rsidRPr="007623EE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7623EE">
        <w:rPr>
          <w:rFonts w:ascii="Times New Roman" w:eastAsia="宋体" w:hAnsi="Times New Roman" w:cs="Times New Roman"/>
          <w:sz w:val="24"/>
          <w:szCs w:val="24"/>
        </w:rPr>
        <w:t>, sk,bc, tknT) outputs the plaintext corresponding tobc if decryption</w:t>
      </w:r>
      <w:r w:rsidR="007623E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623EE">
        <w:rPr>
          <w:rFonts w:ascii="Times New Roman" w:eastAsia="宋体" w:hAnsi="Times New Roman" w:cs="Times New Roman"/>
          <w:sz w:val="24"/>
          <w:szCs w:val="24"/>
        </w:rPr>
        <w:t>is successful or the special symbol “fail” otherwise.</w:t>
      </w:r>
    </w:p>
    <w:p w:rsidR="005A030C" w:rsidRPr="00D83E32" w:rsidRDefault="005A030C" w:rsidP="003C7D69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3E32">
        <w:rPr>
          <w:rFonts w:ascii="Times New Roman" w:eastAsia="宋体" w:hAnsi="Times New Roman" w:cs="Times New Roman"/>
          <w:sz w:val="24"/>
          <w:szCs w:val="24"/>
        </w:rPr>
        <w:t>For consistency, we require that Decrypt(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D83E32">
        <w:rPr>
          <w:rFonts w:ascii="Times New Roman" w:eastAsia="宋体" w:hAnsi="Times New Roman" w:cs="Times New Roman"/>
          <w:sz w:val="24"/>
          <w:szCs w:val="24"/>
        </w:rPr>
        <w:t>, sk,Encrypt(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D83E32">
        <w:rPr>
          <w:rFonts w:ascii="Times New Roman" w:eastAsia="宋体" w:hAnsi="Times New Roman" w:cs="Times New Roman"/>
          <w:sz w:val="24"/>
          <w:szCs w:val="24"/>
        </w:rPr>
        <w:t>, pk,m, T),TG</w:t>
      </w:r>
      <w:r w:rsidR="00D83E3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32">
        <w:rPr>
          <w:rFonts w:ascii="Times New Roman" w:eastAsia="宋体" w:hAnsi="Times New Roman" w:cs="Times New Roman"/>
          <w:sz w:val="24"/>
          <w:szCs w:val="24"/>
        </w:rPr>
        <w:t>(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D83E3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D83E32">
        <w:rPr>
          <w:rFonts w:ascii="Times New Roman" w:eastAsia="宋体" w:hAnsi="Times New Roman" w:cs="Times New Roman"/>
          <w:sz w:val="24"/>
          <w:szCs w:val="24"/>
        </w:rPr>
        <w:t>, T</w:t>
      </w:r>
      <w:r w:rsidR="00366C75">
        <w:rPr>
          <w:rFonts w:ascii="Times New Roman" w:eastAsia="宋体" w:hAnsi="Times New Roman" w:cs="Times New Roman"/>
          <w:sz w:val="24"/>
          <w:szCs w:val="24"/>
        </w:rPr>
        <w:t>)</w:t>
      </w:r>
      <w:r w:rsidRPr="00D83E32">
        <w:rPr>
          <w:rFonts w:ascii="Times New Roman" w:eastAsia="宋体" w:hAnsi="Times New Roman" w:cs="Times New Roman"/>
          <w:sz w:val="24"/>
          <w:szCs w:val="24"/>
        </w:rPr>
        <w:t>= m, for all valid (pk, sk), (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π</w:t>
      </w:r>
      <w:r w:rsidRPr="00D83E3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D83E32">
        <w:rPr>
          <w:rFonts w:ascii="Times New Roman" w:eastAsia="宋体" w:hAnsi="Times New Roman" w:cs="Times New Roman" w:hint="eastAsia"/>
          <w:sz w:val="24"/>
          <w:szCs w:val="24"/>
        </w:rPr>
        <w:t>δ</w:t>
      </w:r>
      <w:r w:rsidRPr="00D83E32">
        <w:rPr>
          <w:rFonts w:ascii="Times New Roman" w:eastAsia="宋体" w:hAnsi="Times New Roman" w:cs="Times New Roman"/>
          <w:sz w:val="24"/>
          <w:szCs w:val="24"/>
        </w:rPr>
        <w:t>), T, and m. Unlike the functional</w:t>
      </w:r>
      <w:r w:rsidR="00D83E3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32">
        <w:rPr>
          <w:rFonts w:ascii="Times New Roman" w:eastAsia="宋体" w:hAnsi="Times New Roman" w:cs="Times New Roman"/>
          <w:sz w:val="24"/>
          <w:szCs w:val="24"/>
        </w:rPr>
        <w:t>requirements specified in Cathalo et al. [2005], we explicitly separate the functions</w:t>
      </w:r>
      <w:r w:rsidR="003C7D6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32">
        <w:rPr>
          <w:rFonts w:ascii="Times New Roman" w:eastAsia="宋体" w:hAnsi="Times New Roman" w:cs="Times New Roman"/>
          <w:sz w:val="24"/>
          <w:szCs w:val="24"/>
        </w:rPr>
        <w:t>TRSetup and KeyGen, allowing a user to generate keys independent of</w:t>
      </w:r>
      <w:r w:rsidR="003C7D6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32">
        <w:rPr>
          <w:rFonts w:ascii="Times New Roman" w:eastAsia="宋体" w:hAnsi="Times New Roman" w:cs="Times New Roman"/>
          <w:sz w:val="24"/>
          <w:szCs w:val="24"/>
        </w:rPr>
        <w:t>any timed-release server. This allows the sender to choose which servers to</w:t>
      </w:r>
      <w:r w:rsidR="003C7D6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83E32">
        <w:rPr>
          <w:rFonts w:ascii="Times New Roman" w:eastAsia="宋体" w:hAnsi="Times New Roman" w:cs="Times New Roman"/>
          <w:sz w:val="24"/>
          <w:szCs w:val="24"/>
        </w:rPr>
        <w:t>trust during encryption.</w:t>
      </w:r>
    </w:p>
    <w:p w:rsidR="005A030C" w:rsidRPr="00D83E32" w:rsidRDefault="005A030C" w:rsidP="00D83E32">
      <w:pPr>
        <w:spacing w:before="60" w:afterLines="50" w:after="156"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83E32">
        <w:rPr>
          <w:rFonts w:ascii="Times New Roman" w:eastAsia="宋体" w:hAnsi="Times New Roman" w:cs="Times New Roman"/>
          <w:sz w:val="24"/>
          <w:szCs w:val="24"/>
        </w:rPr>
        <w:t>ACM Transactions on Information and Systems Security, Vol. 11, No. 2, Article 8, Pub. date: May 2008.</w:t>
      </w:r>
    </w:p>
    <w:p w:rsidR="00153B0F" w:rsidRPr="00557366" w:rsidRDefault="00153B0F" w:rsidP="005A030C"/>
    <w:sectPr w:rsidR="00153B0F" w:rsidRPr="00557366" w:rsidSect="00C02A97">
      <w:pgSz w:w="11906" w:h="16838"/>
      <w:pgMar w:top="1418" w:right="1134" w:bottom="1134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3A" w:rsidRDefault="0071283A" w:rsidP="00153B0F">
      <w:r>
        <w:separator/>
      </w:r>
    </w:p>
  </w:endnote>
  <w:endnote w:type="continuationSeparator" w:id="0">
    <w:p w:rsidR="0071283A" w:rsidRDefault="0071283A" w:rsidP="0015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3A" w:rsidRDefault="0071283A" w:rsidP="00153B0F">
      <w:r>
        <w:separator/>
      </w:r>
    </w:p>
  </w:footnote>
  <w:footnote w:type="continuationSeparator" w:id="0">
    <w:p w:rsidR="0071283A" w:rsidRDefault="0071283A" w:rsidP="00153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5F"/>
    <w:rsid w:val="000113AA"/>
    <w:rsid w:val="00012DD5"/>
    <w:rsid w:val="00097B65"/>
    <w:rsid w:val="00153B0F"/>
    <w:rsid w:val="001953BD"/>
    <w:rsid w:val="001D72C0"/>
    <w:rsid w:val="002355ED"/>
    <w:rsid w:val="00252C69"/>
    <w:rsid w:val="002B7E55"/>
    <w:rsid w:val="002D546F"/>
    <w:rsid w:val="00347BA7"/>
    <w:rsid w:val="00366C75"/>
    <w:rsid w:val="003824AB"/>
    <w:rsid w:val="003C7D69"/>
    <w:rsid w:val="00412445"/>
    <w:rsid w:val="005470CB"/>
    <w:rsid w:val="00557366"/>
    <w:rsid w:val="00575F80"/>
    <w:rsid w:val="005A030C"/>
    <w:rsid w:val="005A2520"/>
    <w:rsid w:val="005F1972"/>
    <w:rsid w:val="00645342"/>
    <w:rsid w:val="006765D7"/>
    <w:rsid w:val="00684650"/>
    <w:rsid w:val="006979C0"/>
    <w:rsid w:val="0071283A"/>
    <w:rsid w:val="007623EE"/>
    <w:rsid w:val="007D348A"/>
    <w:rsid w:val="00800B61"/>
    <w:rsid w:val="008173A2"/>
    <w:rsid w:val="00875BFD"/>
    <w:rsid w:val="00882E2D"/>
    <w:rsid w:val="008C71D1"/>
    <w:rsid w:val="008F3817"/>
    <w:rsid w:val="00965C0A"/>
    <w:rsid w:val="00A003F2"/>
    <w:rsid w:val="00A83187"/>
    <w:rsid w:val="00AE0C1E"/>
    <w:rsid w:val="00AF39E0"/>
    <w:rsid w:val="00B0363C"/>
    <w:rsid w:val="00B10A84"/>
    <w:rsid w:val="00B4045F"/>
    <w:rsid w:val="00B85BA2"/>
    <w:rsid w:val="00C02A97"/>
    <w:rsid w:val="00C35F50"/>
    <w:rsid w:val="00C92494"/>
    <w:rsid w:val="00D40245"/>
    <w:rsid w:val="00D83E32"/>
    <w:rsid w:val="00EB4B94"/>
    <w:rsid w:val="00ED43BE"/>
    <w:rsid w:val="00EE557C"/>
    <w:rsid w:val="00F17320"/>
    <w:rsid w:val="00F55738"/>
    <w:rsid w:val="00F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EA74"/>
  <w15:chartTrackingRefBased/>
  <w15:docId w15:val="{1C1729AF-A56A-499E-ACE0-4D51D4C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2506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罗冲</dc:creator>
  <cp:keywords/>
  <dc:description/>
  <cp:lastModifiedBy>罗冲</cp:lastModifiedBy>
  <cp:revision>34</cp:revision>
  <dcterms:created xsi:type="dcterms:W3CDTF">2016-05-19T03:31:00Z</dcterms:created>
  <dcterms:modified xsi:type="dcterms:W3CDTF">2016-06-03T06:46:00Z</dcterms:modified>
</cp:coreProperties>
</file>