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aps/>
          <w:color w:val="7C3AED"/>
          <w:sz w:val="22"/>
          <w:szCs w:val="22"/>
        </w:rPr>
        <w:t xml:space="preserve">SPECIFICATION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Precision-Aware Roofline Calculator</w:t>
      </w:r>
    </w:p>
    <w:p>
      <w:pPr>
        <w:pBdr>
          <w:bottom w:val="single" w:color="7C3AED" w:sz="6" w:space="8"/>
        </w:pBdr>
        <w:spacing w:after="40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ML Inference Workload Analysis Across Hardware and Numeric Formats</w:t>
      </w:r>
    </w:p>
    <w:p>
      <w:pPr>
        <w:spacing w:after="2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0.3.0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Covers: NVFP4, MXFP4, FP8, MX formats, block floating point, NF4, mixed-precision inference, KV cache quantization, custom ASIC evaluation</w:t>
      </w:r>
    </w:p>
    <w:p>
      <w:pPr>
        <w:spacing w:before="6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Components: Python calculation engine, interactive React frontend, hardware config system, validation framework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tool answers one question at every level of the stack: </w:t>
      </w:r>
      <w:r>
        <w:rPr>
          <w:i/>
          <w:iCs/>
        </w:rPr>
        <w:t xml:space="preserve">given this hardware, this model, and this precision config, where does each operator sit on the roofline, and what changes if I change any of those three knobs?</w:t>
      </w:r>
    </w:p>
    <w:p>
      <w:pPr>
        <w:spacing w:after="200"/>
      </w:pPr>
      <w:r>
        <w:t xml:space="preserve">The core abstraction is that every transformer operator reduces to: attainable_throughput = min(peak_compute, arithmetic_intensity × bandwidth). Precision format affects both sides: it changes bytes moved (denominator of AI) and, on hardware with native low-precision units, changes peak compute (the ceiling).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 independent axes: </w:t>
      </w:r>
      <w:r>
        <w:t xml:space="preserve">hardware, model architecture, and precision config. The value is in the interactions between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 byte overhead modeling: </w:t>
      </w:r>
      <w:r>
        <w:t xml:space="preserve">MXFP4 (block=32, E8M0) costs 4.25 bits/elem; NVFP4 (block=16, E4M3+FP32) costs 4.53 bits/elem. This 6.6% difference matters at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W4A4 vs W4A16 distinction: </w:t>
      </w:r>
      <w:r>
        <w:t xml:space="preserve">compute_as field maps to the actual hardware datapath. NVFP4 W4A16 runs on FP16 tensor cores (only bandwidth benefit). NVFP4 W4A4 runs on native FP4 tensor cores (2× compute ceiling).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KV cache as independent axis: </w:t>
      </w:r>
      <w:r>
        <w:t xml:space="preserve">KV precision can differ from weight/activation precision. Critical for long-context reasoning inference (o1/o3).</w:t>
      </w:r>
    </w:p>
    <w:p>
      <w:r>
        <w:br w:type="page"/>
      </w:r>
    </w:p>
    <w:p>
      <w:pPr>
        <w:pStyle w:val="Heading1"/>
      </w:pPr>
      <w:r>
        <w:t xml:space="preserve">2. Precision Format Catalog</w:t>
      </w:r>
    </w:p>
    <w:p>
      <w:pPr>
        <w:spacing w:after="200"/>
      </w:pPr>
      <w:r>
        <w:t xml:space="preserve">Complete specification of every numeric format modeled. The key innovation is modeling block floating point overhead precisely: each format's effective bits per element includes amortized scale factor storage.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700"/>
        <w:gridCol w:w="500"/>
        <w:gridCol w:w="600"/>
        <w:gridCol w:w="600"/>
        <w:gridCol w:w="650"/>
        <w:gridCol w:w="600"/>
        <w:gridCol w:w="1290"/>
      </w:tblGrid>
      <w:t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Bits</w:t>
            </w:r>
          </w:p>
        </w:tc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 b</w:t>
            </w:r>
          </w:p>
        </w:tc>
        <w:tc>
          <w:tcPr>
            <w:tcW w:type="dxa" w:w="65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B/elem</w:t>
            </w:r>
          </w:p>
        </w:tc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Ovhd</w:t>
            </w:r>
          </w:p>
        </w:tc>
        <w:tc>
          <w:tcPr>
            <w:tcW w:type="dxa" w:w="129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±3.4e38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BF16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±3.4e38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FP16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E5M10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±65504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FP8 E4M3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E4M3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±448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FP8 E5M2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E5M2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±57344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MXFP8 E4M3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E4M3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1.031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±448×2¹²⁷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MXFP6 E3M2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E3M2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6.25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0.781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±28×2¹²⁷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MXFP6 E2M3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E2M3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6.25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0.781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±7.5×2¹²⁷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MXFP4 (OCP)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E2M1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0.531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5.9%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±6×2¹²⁷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NVFP4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E2M1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E4M3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4.50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0.563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11.1%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±6×448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NF4 (bnb)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index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0.531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5.9%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±1×65504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INT8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fixed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1.000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±127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INT4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fixed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0%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±7</w:t>
            </w:r>
          </w:p>
        </w:tc>
      </w:tr>
    </w:tbl>
    <w:p>
      <w:pPr>
        <w:pStyle w:val="Heading2"/>
        <w:spacing w:before="400"/>
      </w:pPr>
      <w:r>
        <w:t xml:space="preserve">2.1 NVFP4 vs MXFP4: Critical Differences</w:t>
      </w:r>
    </w:p>
    <w:p>
      <w:pPr>
        <w:spacing w:after="120"/>
      </w:pPr>
      <w:r>
        <w:t xml:space="preserve">Both use FP4 E2M1 elements with the same codebook: {0, 0.5, 1, 1.5, 2, 3, 4, 6}. The differences lie entirely in the scaling mechanism: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7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MXFP4 (OCP)</w:t>
            </w:r>
          </w:p>
        </w:tc>
        <w:tc>
          <w:tcPr>
            <w:tcW w:type="dxa" w:w="37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NVFP4 (NVIDIA)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Block size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 elements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Scale format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E8M0 (power-of-2 only)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E4M3 (non-power-of-2)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Tensor scale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FP32 per-tensor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Effective bits/elem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4.250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4.531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Scale overhead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5.9%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Scale granularity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Coarse (powers of 2)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Fine (448 E4M3 values)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Accuracy (PTQ)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Requires careful calibration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&lt;1% degradation from FP8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HW support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Blackwell TC (SM100+)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Blackwell TC (SM100+)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Hardware Platform Specifications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800"/>
        <w:gridCol w:w="900"/>
        <w:gridCol w:w="900"/>
        <w:gridCol w:w="1070"/>
        <w:gridCol w:w="970"/>
      </w:tblGrid>
      <w:tr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BW GB/s</w:t>
            </w:r>
          </w:p>
        </w:tc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FP32 T</w:t>
            </w:r>
          </w:p>
        </w:tc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 T</w:t>
            </w:r>
          </w:p>
        </w:tc>
        <w:tc>
          <w:tcPr>
            <w:tcW w:type="dxa" w:w="9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FP8 T</w:t>
            </w:r>
          </w:p>
        </w:tc>
        <w:tc>
          <w:tcPr>
            <w:tcW w:type="dxa" w:w="9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INT8 T</w:t>
            </w:r>
          </w:p>
        </w:tc>
        <w:tc>
          <w:tcPr>
            <w:tcW w:type="dxa" w:w="107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NVFP4 T</w:t>
            </w:r>
          </w:p>
        </w:tc>
        <w:tc>
          <w:tcPr>
            <w:tcW w:type="dxa" w:w="97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INT4 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Jetson Nano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25.6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A100 SXM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2,039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19.5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624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H100 SXM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1,979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3,958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4,500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9,000</w:t>
            </w:r>
          </w:p>
        </w:tc>
        <w:tc>
          <w:tcPr>
            <w:tcW w:type="dxa" w:w="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B300 Ultra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12,000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7,000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14,000</w:t>
            </w:r>
          </w:p>
        </w:tc>
        <w:tc>
          <w:tcPr>
            <w:tcW w:type="dxa" w:w="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14,000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compute figures in TFLOP/s (dense). The Custom ASIC template allows all parameters to be overridden for hypothetical hardware evaluation.</w:t>
      </w:r>
    </w:p>
    <w:p>
      <w:pPr>
        <w:pStyle w:val="Heading1"/>
      </w:pPr>
      <w:r>
        <w:t xml:space="preserve">4. Precision Configurations</w:t>
      </w:r>
    </w:p>
    <w:p>
      <w:pPr>
        <w:spacing w:after="200"/>
      </w:pPr>
      <w:r>
        <w:t xml:space="preserve">Each config assigns formats independently to weights, activations, and KV cache. The </w:t>
      </w:r>
      <w:r>
        <w:rPr>
          <w:b/>
          <w:bCs/>
        </w:rPr>
        <w:t xml:space="preserve">compute path</w:t>
      </w:r>
      <w:r>
        <w:t xml:space="preserve"> field determines which hardware peak ceiling applies — this is why W4A16 does not get FP4 speedup.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800"/>
        <w:gridCol w:w="900"/>
        <w:gridCol w:w="1000"/>
        <w:gridCol w:w="4640"/>
      </w:tblGrid>
      <w:tr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9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</w:t>
            </w:r>
          </w:p>
        </w:tc>
        <w:tc>
          <w:tcPr>
            <w:tcW w:type="dxa" w:w="46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BF16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BF16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Both W + A benefit from BF16 TC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FP8 E4M3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Production standard on Hopper+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FP8 + NVFP4 KV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KV compression for long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W4A16 NF4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NF4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Only bandwidth benefit (dequant)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NVFP4 W4A16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FP16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NVFP4 weights, FP16 compute path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NVFP4 W4A4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Full native FP4: BW + compute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NVFP4 W4A8 dyn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FP8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Dynamic act quant, middle ground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MXFP4 W4A4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MXFP4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MXFP4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MXFP4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MXFP4 TC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OCP standard, block=32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Derived Formulas</w:t>
      </w:r>
    </w:p>
    <w:p>
      <w:pPr>
        <w:pStyle w:val="Heading2"/>
      </w:pPr>
      <w:r>
        <w:t xml:space="preserve">5.1 Decode GEMV Arithmetic Intensity</w:t>
      </w:r>
    </w:p>
    <w:p>
      <w:pPr>
        <w:spacing w:after="120"/>
      </w:pPr>
      <w:r>
        <w:t xml:space="preserve">For a decode GEMV (M=1): AI ≈ 2 / bytes_per_weight_element. This is independent of hidden dimension and always memory-bound: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Format</w:t>
            </w:r>
          </w:p>
        </w:tc>
        <w:tc>
          <w:tcPr>
            <w:tcW w:type="dxa" w:w="24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Decode AI</w:t>
            </w:r>
          </w:p>
        </w:tc>
        <w:tc>
          <w:tcPr>
            <w:tcW w:type="dxa" w:w="24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H100 Critical AI</w:t>
            </w:r>
          </w:p>
        </w:tc>
        <w:tc>
          <w:tcPr>
            <w:tcW w:type="dxa" w:w="24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FP32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0.5 FLOP/B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1180× below → memory-bound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FP16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 FLOP/B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590× below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FP8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 FLOP/B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295× below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NVFP4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3.5 FLOP/B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169× below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 FLOP/B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148× below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Decode is memory-bound on every existing accelerator at every precision.</w:t>
      </w:r>
      <w:r>
        <w:t xml:space="preserve"> This is the fundamental reason inference optimization focuses on memory bandwidth.</w:t>
      </w:r>
    </w:p>
    <w:p>
      <w:pPr>
        <w:pStyle w:val="Heading2"/>
      </w:pPr>
      <w:r>
        <w:t xml:space="preserve">5.2 KV Cache Crossover Point</w:t>
      </w:r>
    </w:p>
    <w:p>
      <w:pPr>
        <w:spacing w:after="200"/>
      </w:pPr>
      <w:r>
        <w:t xml:space="preserve">Context length where KV cache reading overtakes weight loading as the dominant time cost. For reasoning models generating 10,000+ thinking tokens, KV cache is almost always the dominant cost — making KV cache quantization (NVFP4 KV) the highest-leverage optimization for o1/o3-style inference.</w:t>
      </w:r>
    </w:p>
    <w:p>
      <w:pPr>
        <w:pStyle w:val="Heading2"/>
      </w:pPr>
      <w:r>
        <w:t xml:space="preserve">5.3 W4A4 vs W4A16 Roofline Effect</w:t>
      </w:r>
    </w:p>
    <w:p>
      <w:pPr>
        <w:spacing w:after="200"/>
      </w:pPr>
      <w:r>
        <w:t xml:space="preserve">Reducing weight precision from FP16 to NVFP4 shifts operators rightward on the roofline (higher AI from fewer bytes). But the compute ceiling only rises if activations are also quantized: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NVFP4 W4A16: </w:t>
      </w:r>
      <w:r>
        <w:t xml:space="preserve">operators shift RIGHT (higher AI), ceiling stays at FP16 peak. Net effect: ~2× decode throughput (from halved weight bytes).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NVFP4 W4A4: </w:t>
      </w:r>
      <w:r>
        <w:t xml:space="preserve">operators shift RIGHT, AND ceiling rises to NVFP4 peak (2× FP8). Net effect: up to ~4× decode throughput. But requires dynamic activation quantization, which adds overhead and accuracy challenges.</w:t>
      </w:r>
    </w:p>
    <w:p>
      <w:pPr>
        <w:pStyle w:val="Heading1"/>
      </w:pPr>
      <w:r>
        <w:t xml:space="preserve">6. Tool Components</w:t>
      </w:r>
    </w:p>
    <w:p>
      <w:pPr>
        <w:pStyle w:val="Heading2"/>
      </w:pPr>
      <w:r>
        <w:t xml:space="preserve">6.1 Python Calculation Engine</w:t>
      </w:r>
    </w:p>
    <w:p>
      <w:pPr>
        <w:spacing w:after="120"/>
      </w:pPr>
      <w:r>
        <w:t xml:space="preserve">Pure Python, no GPU required. Computes per-operator FLOPs, bytes, AI, and attainable throughput from first principles. Outputs OperatorPoint objects that can be plotted or tabulated.</w:t>
      </w:r>
    </w:p>
    <w:p>
      <w:pPr>
        <w:spacing w:after="120"/>
      </w:pPr>
      <w:r>
        <w:rPr>
          <w:b/>
          <w:bCs/>
        </w:rPr>
        <w:t xml:space="preserve">Key classes: </w:t>
      </w:r>
      <w:r>
        <w:t xml:space="preserve">FormatSpec (format catalog), HardwareSpec (hardware platform), TransformerSpec (model architecture), PrecisionConfig (format assignment), RooflineCalculator (engine), OperatorPoint (result).</w:t>
      </w:r>
    </w:p>
    <w:p>
      <w:pPr>
        <w:pStyle w:val="Heading2"/>
      </w:pPr>
      <w:r>
        <w:t xml:space="preserve">6.2 Interactive React Frontend</w:t>
      </w:r>
    </w:p>
    <w:p>
      <w:pPr>
        <w:spacing w:after="120"/>
      </w:pPr>
      <w:r>
        <w:t xml:space="preserve">D3.js roofline plot with hover tooltips. Natural language input bar uses Claude API to parse semantic workload descriptions into structured configs. Pin-and-compare for A/B analysis. Format explorer with codebook visualization.</w:t>
      </w:r>
    </w:p>
    <w:p>
      <w:pPr>
        <w:pStyle w:val="Heading2"/>
      </w:pPr>
      <w:r>
        <w:t xml:space="preserve">6.3 Hardware Config System</w:t>
      </w:r>
    </w:p>
    <w:p>
      <w:pPr>
        <w:spacing w:after="120"/>
      </w:pPr>
      <w:r>
        <w:t xml:space="preserve">JSON-based hardware specs, extensible for new platforms. Custom ASIC template for hypothetical hardware evaluation. Uncertainty bands for estimated specs.</w:t>
      </w:r>
    </w:p>
    <w:p>
      <w:pPr>
        <w:pStyle w:val="Heading2"/>
      </w:pPr>
      <w:r>
        <w:t xml:space="preserve">6.4 Validation Framework</w:t>
      </w:r>
    </w:p>
    <w:p>
      <w:pPr>
        <w:spacing w:after="200"/>
      </w:pPr>
      <w:r>
        <w:t xml:space="preserve">Compare calculator predictions against measured nvprof/NCU traces. Quantify prediction errors and identify root causes (cache effects, kernel launch overhead, dequantization costs). Jetson Nano as first empirical validation point.</w:t>
      </w:r>
    </w:p>
    <w:p>
      <w:pPr>
        <w:pStyle w:val="Heading1"/>
      </w:pPr>
      <w:r>
        <w:t xml:space="preserve">7. Usage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Precision sweep: </w:t>
      </w:r>
      <w:r>
        <w:t xml:space="preserve">Evaluate all 16 precision configs on fixed hardware/model. Produces roofline trajectory showing how each quant level shifts operator positions.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 scaling: </w:t>
      </w:r>
      <w:r>
        <w:t xml:space="preserve">Show decode throughput degradation as context grows. Reveals the KV cache wall and optimal KV precision for a given context budget.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Hardware comparison: </w:t>
      </w:r>
      <w:r>
        <w:t xml:space="preserve">Same workload across Jetson Nano → A100 → H100 → B200 → Custom ASIC. Shows which operators flip from memory-bound to compute-bound.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ASIC evaluation: </w:t>
      </w:r>
      <w:r>
        <w:t xml:space="preserve">Plug in hypothetical hardware specs and see which operators in o1-style long-context decode would flip from memory-bound to compute-bound. Answers: how much bandwidth vs. compute to provision?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Validation: </w:t>
      </w:r>
      <w:r>
        <w:t xml:space="preserve">Compare predictions against measured hardware traces. The prediction errors themselves are a deliverable — they reveal invalid assumptions in the model.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PRECISION-AWARE ROOFLINE CALCULATOR</w:t>
    </w:r>
    <w:r>
      <w:rPr>
        <w:rFonts w:ascii="Arial" w:cs="Arial" w:eastAsia="Arial" w:hAnsi="Arial"/>
        <w:color w:val="9CA3AF"/>
        <w:sz w:val="16"/>
        <w:szCs w:val="16"/>
      </w:rPr>
      <w:t xml:space="preserve">   |   SPECIFICATION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2026-02-14T18:55:32.220Z</dcterms:created>
  <dcterms:modified xsi:type="dcterms:W3CDTF">2026-02-14T18:55:32.221Z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