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1"/>
        <w:keepNext/>
        <w:jc w:val="center"/>
        <w:rPr>
          <w:rFonts w:hint="eastAsia" w:ascii="微软雅黑" w:hAnsi="微软雅黑" w:eastAsia="微软雅黑" w:cs="微软雅黑"/>
        </w:rPr>
      </w:pPr>
      <w:r>
        <w:rPr>
          <w:color w:val="000000"/>
        </w:rPr>
        <w:t>3.6 系统输入数据模拟与 3.3 替代方案</w:t>
      </w:r>
    </w:p>
    <w:p>
      <w:pPr>
        <w:widowControl/>
        <w:jc w:val="center"/>
        <w:rPr>
          <w:rFonts w:hint="default" w:ascii="微软雅黑" w:hAnsi="微软雅黑" w:eastAsia="微软雅黑" w:cs="微软雅黑"/>
          <w:b/>
          <w:bCs/>
          <w:color w:val="C00000"/>
          <w:lang w:val="en-US" w:eastAsia="zh-CN"/>
        </w:rPr>
      </w:pPr>
      <w:r>
        <w:t>标书对照补全版 V1.4 原工具链保留与选型评估版  2026年10月1日</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5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858" w:type="dxa"/>
            <w:shd w:val="clear" w:color="auto" w:fill="EAF2F8"/>
          </w:tcPr>
          <w:p>
            <w:pPr>
              <w:spacing w:before="0" w:after="40" w:line="269" w:lineRule="auto"/>
            </w:pPr>
            <w:r>
              <w:rPr>
                <w:color w:val="000000"/>
                <w:sz w:val="19"/>
              </w:rPr>
              <w:t>方案目标：模拟器临时承担冻结3.3↔3.6接口范围内的3.3输出职责，与真实3.3遵循同一正式ICD；3.6使用统一标准处理路径。正式链路与发布基线验证后，仅调整白名单部署及授权配置即可替换，禁止修改接口解析、模型映射和业务代码。软件验证不代替实体终验。</w:t>
            </w:r>
          </w:p>
        </w:tc>
      </w:tr>
    </w:tbl>
    <w:p>
      <w:pPr>
        <w:rPr>
          <w:rFonts w:hint="eastAsia" w:ascii="微软雅黑" w:hAnsi="微软雅黑" w:eastAsia="微软雅黑" w:cs="微软雅黑"/>
        </w:rPr>
      </w:pPr>
    </w:p>
    <w:p>
      <w:pPr>
        <w:widowControl/>
        <w:jc w:val="center"/>
        <w:rPr>
          <w:rFonts w:hint="eastAsia" w:ascii="微软雅黑" w:hAnsi="微软雅黑" w:eastAsia="微软雅黑" w:cs="微软雅黑"/>
        </w:rPr>
      </w:pPr>
      <w:r>
        <w:t>适用范围：3.3与3.6双向接口的开发阶段替代、软件联调、硬件联调准备与真实系统切换</w:t>
      </w:r>
    </w:p>
    <w:p>
      <w:pPr>
        <w:widowControl/>
        <w:jc w:val="center"/>
        <w:rPr>
          <w:rFonts w:hint="eastAsia" w:ascii="微软雅黑" w:hAnsi="微软雅黑" w:eastAsia="微软雅黑" w:cs="微软雅黑"/>
        </w:rPr>
      </w:pPr>
      <w:r>
        <w:rPr>
          <w:rFonts w:hint="eastAsia" w:ascii="微软雅黑" w:hAnsi="微软雅黑" w:eastAsia="微软雅黑" w:cs="微软雅黑"/>
        </w:rPr>
        <w:t>文档类型：开发阶段接口替代与联调实施方案</w:t>
      </w:r>
    </w:p>
    <w:p>
      <w:pPr>
        <w:rPr>
          <w:rFonts w:hint="eastAsia" w:ascii="微软雅黑" w:hAnsi="微软雅黑" w:eastAsia="微软雅黑" w:cs="微软雅黑"/>
        </w:rPr>
      </w:pPr>
      <w:r>
        <w:rPr>
          <w:rFonts w:hint="eastAsia" w:ascii="微软雅黑" w:hAnsi="微软雅黑" w:eastAsia="微软雅黑" w:cs="微软雅黑"/>
        </w:rPr>
        <w:br w:type="page"/>
      </w:r>
    </w:p>
    <w:p>
      <w:pPr>
        <w:pStyle w:val="3"/>
        <w:keepNext/>
        <w:jc w:val="center"/>
        <w:rPr>
          <w:rFonts w:hint="eastAsia" w:ascii="微软雅黑" w:hAnsi="微软雅黑" w:eastAsia="微软雅黑" w:cs="微软雅黑"/>
        </w:rPr>
      </w:pPr>
      <w:r>
        <w:rPr>
          <w:rFonts w:hint="eastAsia" w:ascii="微软雅黑" w:hAnsi="微软雅黑" w:eastAsia="微软雅黑" w:cs="微软雅黑"/>
          <w:color w:val="000000"/>
        </w:rPr>
        <w:t>目录</w:t>
      </w:r>
    </w:p>
    <w:p>
      <w:pPr>
        <w:widowControl/>
        <w:spacing w:after="60"/>
        <w:ind w:left="567"/>
        <w:rPr>
          <w:rFonts w:hint="eastAsia" w:ascii="微软雅黑" w:hAnsi="微软雅黑" w:eastAsia="微软雅黑" w:cs="微软雅黑"/>
        </w:rPr>
      </w:pPr>
      <w:r>
        <w:rPr>
          <w:rFonts w:hint="eastAsia" w:ascii="微软雅黑" w:hAnsi="微软雅黑" w:eastAsia="微软雅黑" w:cs="微软雅黑"/>
        </w:rPr>
        <w:t>1. 项目背景与问题定义</w:t>
      </w:r>
    </w:p>
    <w:p>
      <w:pPr>
        <w:widowControl/>
        <w:spacing w:after="60"/>
        <w:ind w:left="567"/>
        <w:rPr>
          <w:rFonts w:hint="eastAsia" w:ascii="微软雅黑" w:hAnsi="微软雅黑" w:eastAsia="微软雅黑" w:cs="微软雅黑"/>
        </w:rPr>
      </w:pPr>
      <w:r>
        <w:rPr>
          <w:rFonts w:hint="eastAsia" w:ascii="微软雅黑" w:hAnsi="微软雅黑" w:eastAsia="微软雅黑" w:cs="微软雅黑"/>
        </w:rPr>
        <w:t>2. 标书约束与接口关系</w:t>
      </w:r>
    </w:p>
    <w:p>
      <w:pPr>
        <w:widowControl/>
        <w:spacing w:after="60"/>
        <w:ind w:left="567"/>
        <w:rPr>
          <w:rFonts w:hint="eastAsia" w:ascii="微软雅黑" w:hAnsi="微软雅黑" w:eastAsia="微软雅黑" w:cs="微软雅黑"/>
        </w:rPr>
      </w:pPr>
      <w:r>
        <w:rPr>
          <w:rFonts w:hint="eastAsia" w:ascii="微软雅黑" w:hAnsi="微软雅黑" w:eastAsia="微软雅黑" w:cs="微软雅黑"/>
        </w:rPr>
        <w:t>3. 总体解决方案</w:t>
      </w:r>
    </w:p>
    <w:p>
      <w:pPr>
        <w:widowControl/>
        <w:spacing w:after="60"/>
        <w:ind w:left="567"/>
        <w:rPr>
          <w:rFonts w:hint="eastAsia" w:ascii="微软雅黑" w:hAnsi="微软雅黑" w:eastAsia="微软雅黑" w:cs="微软雅黑"/>
        </w:rPr>
      </w:pPr>
      <w:r>
        <w:rPr>
          <w:rFonts w:hint="eastAsia" w:ascii="微软雅黑" w:hAnsi="微软雅黑" w:eastAsia="微软雅黑" w:cs="微软雅黑"/>
        </w:rPr>
        <w:t>4. 3.3↔3.6 接口契约设计</w:t>
      </w:r>
    </w:p>
    <w:p>
      <w:pPr>
        <w:widowControl/>
        <w:spacing w:after="60"/>
        <w:ind w:left="567"/>
        <w:rPr>
          <w:rFonts w:hint="eastAsia" w:ascii="微软雅黑" w:hAnsi="微软雅黑" w:eastAsia="微软雅黑" w:cs="微软雅黑"/>
        </w:rPr>
      </w:pPr>
      <w:r>
        <w:rPr>
          <w:rFonts w:hint="eastAsia" w:ascii="微软雅黑" w:hAnsi="微软雅黑" w:eastAsia="微软雅黑" w:cs="微软雅黑"/>
        </w:rPr>
        <w:t>5. 输入数据模拟软件选型</w:t>
      </w:r>
    </w:p>
    <w:p>
      <w:pPr>
        <w:widowControl/>
        <w:spacing w:after="60"/>
        <w:ind w:left="567"/>
        <w:rPr>
          <w:rFonts w:hint="eastAsia" w:ascii="微软雅黑" w:hAnsi="微软雅黑" w:eastAsia="微软雅黑" w:cs="微软雅黑"/>
        </w:rPr>
      </w:pPr>
      <w:r>
        <w:rPr>
          <w:rFonts w:hint="eastAsia" w:ascii="微软雅黑" w:hAnsi="微软雅黑" w:eastAsia="微软雅黑" w:cs="微软雅黑"/>
        </w:rPr>
        <w:t>6. 模拟数据与测试场景设计</w:t>
      </w:r>
    </w:p>
    <w:p>
      <w:pPr>
        <w:widowControl/>
        <w:spacing w:after="60"/>
        <w:ind w:left="567"/>
        <w:rPr>
          <w:rFonts w:hint="eastAsia" w:ascii="微软雅黑" w:hAnsi="微软雅黑" w:eastAsia="微软雅黑" w:cs="微软雅黑"/>
        </w:rPr>
      </w:pPr>
      <w:r>
        <w:rPr>
          <w:rFonts w:hint="eastAsia" w:ascii="微软雅黑" w:hAnsi="微软雅黑" w:eastAsia="微软雅黑" w:cs="微软雅黑"/>
        </w:rPr>
        <w:t>7. 轻量级 3.3 Mock Server 设计</w:t>
      </w:r>
    </w:p>
    <w:p>
      <w:pPr>
        <w:widowControl/>
        <w:spacing w:after="60"/>
        <w:ind w:left="567"/>
        <w:rPr>
          <w:rFonts w:hint="eastAsia" w:ascii="微软雅黑" w:hAnsi="微软雅黑" w:eastAsia="微软雅黑" w:cs="微软雅黑"/>
        </w:rPr>
      </w:pPr>
      <w:r>
        <w:rPr>
          <w:rFonts w:hint="eastAsia" w:ascii="微软雅黑" w:hAnsi="微软雅黑" w:eastAsia="微软雅黑" w:cs="微软雅黑"/>
        </w:rPr>
        <w:t>8. 分阶段实施步骤</w:t>
      </w:r>
    </w:p>
    <w:p>
      <w:pPr>
        <w:widowControl/>
        <w:spacing w:after="60"/>
        <w:ind w:left="567"/>
        <w:rPr>
          <w:rFonts w:hint="eastAsia" w:ascii="微软雅黑" w:hAnsi="微软雅黑" w:eastAsia="微软雅黑" w:cs="微软雅黑"/>
        </w:rPr>
      </w:pPr>
      <w:r>
        <w:rPr>
          <w:rFonts w:hint="eastAsia" w:ascii="微软雅黑" w:hAnsi="微软雅黑" w:eastAsia="微软雅黑" w:cs="微软雅黑"/>
        </w:rPr>
        <w:t>9. 推荐落地组合与环境部署</w:t>
      </w:r>
    </w:p>
    <w:p>
      <w:pPr>
        <w:widowControl/>
        <w:spacing w:after="60"/>
        <w:ind w:left="567"/>
        <w:rPr>
          <w:rFonts w:hint="eastAsia" w:ascii="微软雅黑" w:hAnsi="微软雅黑" w:eastAsia="微软雅黑" w:cs="微软雅黑"/>
        </w:rPr>
      </w:pPr>
      <w:r>
        <w:rPr>
          <w:rFonts w:hint="eastAsia" w:ascii="微软雅黑" w:hAnsi="微软雅黑" w:eastAsia="微软雅黑" w:cs="微软雅黑"/>
        </w:rPr>
        <w:t>10. 真实 3.3 接入与替换策略</w:t>
      </w:r>
    </w:p>
    <w:p>
      <w:pPr>
        <w:widowControl/>
        <w:spacing w:after="60"/>
        <w:ind w:left="567"/>
        <w:rPr>
          <w:rFonts w:hint="eastAsia" w:ascii="微软雅黑" w:hAnsi="微软雅黑" w:eastAsia="微软雅黑" w:cs="微软雅黑"/>
        </w:rPr>
      </w:pPr>
      <w:r>
        <w:rPr>
          <w:rFonts w:hint="eastAsia" w:ascii="微软雅黑" w:hAnsi="微软雅黑" w:eastAsia="微软雅黑" w:cs="微软雅黑"/>
        </w:rPr>
        <w:t>11. 风险控制与验收建议</w:t>
      </w:r>
    </w:p>
    <w:p>
      <w:pPr>
        <w:widowControl/>
        <w:spacing w:after="60"/>
        <w:ind w:left="567"/>
        <w:rPr>
          <w:rFonts w:hint="eastAsia" w:ascii="微软雅黑" w:hAnsi="微软雅黑" w:eastAsia="微软雅黑" w:cs="微软雅黑"/>
        </w:rPr>
      </w:pPr>
      <w:r>
        <w:rPr>
          <w:rFonts w:hint="eastAsia" w:ascii="微软雅黑" w:hAnsi="微软雅黑" w:eastAsia="微软雅黑" w:cs="微软雅黑"/>
        </w:rPr>
        <w:t>12. 结论</w:t>
      </w:r>
    </w:p>
    <w:p>
      <w:pPr>
        <w:rPr>
          <w:rFonts w:hint="eastAsia" w:ascii="微软雅黑" w:hAnsi="微软雅黑" w:eastAsia="微软雅黑" w:cs="微软雅黑"/>
        </w:rPr>
      </w:pPr>
      <w:r>
        <w:rPr>
          <w:rFonts w:hint="eastAsia" w:ascii="微软雅黑" w:hAnsi="微软雅黑" w:eastAsia="微软雅黑" w:cs="微软雅黑"/>
        </w:rPr>
        <w:br w:type="page"/>
      </w:r>
    </w:p>
    <w:p>
      <w:pPr>
        <w:pStyle w:val="3"/>
        <w:keepNext/>
        <w:rPr>
          <w:rFonts w:hint="eastAsia" w:ascii="微软雅黑" w:hAnsi="微软雅黑" w:eastAsia="微软雅黑" w:cs="微软雅黑"/>
        </w:rPr>
      </w:pPr>
      <w:r>
        <w:rPr>
          <w:rFonts w:hint="eastAsia" w:ascii="微软雅黑" w:hAnsi="微软雅黑" w:eastAsia="微软雅黑" w:cs="微软雅黑"/>
          <w:color w:val="000000"/>
        </w:rPr>
        <w:t>1. 项目背景与问题定义</w:t>
      </w:r>
    </w:p>
    <w:p>
      <w:pPr>
        <w:widowControl/>
        <w:rPr>
          <w:rFonts w:hint="eastAsia" w:ascii="微软雅黑" w:hAnsi="微软雅黑" w:eastAsia="微软雅黑" w:cs="微软雅黑"/>
        </w:rPr>
      </w:pPr>
      <w:r>
        <w:rPr>
          <w:rFonts w:hint="eastAsia" w:ascii="微软雅黑" w:hAnsi="微软雅黑" w:eastAsia="微软雅黑" w:cs="微软雅黑"/>
        </w:rPr>
        <w:t>当前 3.6 硬件在环仿真飞行验证系统在业务流程上需要接收 3.3 综合测试系统提供的测试激励、测试数据和场景输入，但 3.3 尚未开发完成。如果 3.6 完全等待 3.3，将形成明显的串行依赖，影响模型下载、实时仿真、在线调参、物理 I/O、数据回放以及后续与样机联调的开发进度。</w:t>
      </w:r>
    </w:p>
    <w:p>
      <w:pPr>
        <w:widowControl/>
        <w:rPr>
          <w:rFonts w:hint="eastAsia" w:ascii="微软雅黑" w:hAnsi="微软雅黑" w:eastAsia="微软雅黑" w:cs="微软雅黑"/>
        </w:rPr>
      </w:pPr>
      <w:r>
        <w:t>本方案以共同冻结的正式3.3↔3.6 ICD为唯一接口依据。开发阶段由独立模拟器临时承担该接口范围内的3.3输出职责，真实3.3按同一ICD开发。本版恢复原图各条工具链及自动化层，补齐标准接入和验证环节，并在第9.15～9.16节划分修改性质、逐项评估原工具的保留条件。统一管理不要求所有报文经过新增外部收集分发器；3.6接收解析、模型映射及业务规则在真实源替换时保持不变。</w:t>
      </w:r>
    </w:p>
    <w:p>
      <w:pPr>
        <w:pStyle w:val="4"/>
        <w:keepNext/>
      </w:pPr>
      <w:r>
        <w:rPr>
          <w:color w:val="000000"/>
        </w:rPr>
        <w:t>1.1 替代对象与交付边界</w:t>
      </w:r>
    </w:p>
    <w:p>
      <w:pPr>
        <w:widowControl/>
      </w:pPr>
      <w:r>
        <w:t>模拟器替代范围由共同签署的3.3↔3.6接口覆盖清单确定：必须覆盖其中全部必选输入、反馈和交互规则，不能按模拟器便利性另设协议。3.3的资源池、六席位管理、积木式测试流程、正式报告及其余电气接口仍由原系统承担，不纳入本接口替代范围。</w:t>
      </w:r>
    </w:p>
    <w:p>
      <w:pPr>
        <w:widowControl/>
      </w:pPr>
      <w:r>
        <w:t>业务激励模拟器与被测飞控替代器须区分：前者生成任务、环境、故障和接口测试报文；后者根据仿真传感器反馈计算执行器命令。只有需要样机/飞控闭环且实体未就绪时，才启用独立虚拟飞控。模型状态始终由实际运行的动力学模型生成。</w:t>
      </w:r>
    </w:p>
    <w:p>
      <w:pPr>
        <w:pStyle w:val="4"/>
        <w:keepNext/>
      </w:pPr>
      <w:r>
        <w:rPr>
          <w:color w:val="000000"/>
        </w:rPr>
        <w:t>1.2 完成标准</w:t>
      </w:r>
    </w:p>
    <w:p>
      <w:pPr>
        <w:widowControl/>
      </w:pPr>
      <w:r>
        <w:t>首个里程碑应贯通“发送合法输入—接入校验—模型步生效—输出采集—自动判定—停止发送后超时处置”。分阶段用例须标明覆盖范围。平滑替换验收必须覆盖冻结清单全部必选消息，并证明3.6程序与接口定义未变；仅完成协议模拟的实体功能仍标记为“模拟验证”。</w:t>
      </w:r>
    </w:p>
    <w:p>
      <w:pPr>
        <w:pStyle w:val="3"/>
        <w:keepNext/>
        <w:rPr>
          <w:rFonts w:hint="eastAsia" w:ascii="微软雅黑" w:hAnsi="微软雅黑" w:eastAsia="微软雅黑" w:cs="微软雅黑"/>
        </w:rPr>
      </w:pPr>
      <w:r>
        <w:rPr>
          <w:rFonts w:hint="eastAsia" w:ascii="微软雅黑" w:hAnsi="微软雅黑" w:eastAsia="微软雅黑" w:cs="微软雅黑"/>
          <w:color w:val="000000"/>
        </w:rPr>
        <w:t>2. 标书约束与接口关系</w:t>
      </w:r>
    </w:p>
    <w:p>
      <w:pPr>
        <w:widowControl/>
        <w:rPr>
          <w:rFonts w:hint="eastAsia" w:ascii="微软雅黑" w:hAnsi="微软雅黑" w:eastAsia="微软雅黑" w:cs="微软雅黑"/>
        </w:rPr>
      </w:pPr>
      <w:r>
        <w:rPr>
          <w:rFonts w:hint="eastAsia" w:ascii="微软雅黑" w:hAnsi="微软雅黑" w:eastAsia="微软雅黑" w:cs="微软雅黑"/>
        </w:rPr>
        <w:t>根据标书，3.3 与 3.6 通过 CANFD / 车载以太网等方式实现测试信号与仿真信号互通；测试数据可作为仿真场景的真实输入，仿真结果作为综合测试系统的验证依据。3.6 同时需要具备实时仿真引擎、Simulink 模型加载与实时解算、物理设备接入、数据存储与回放、视频流注入和场景规划等能力。</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5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858" w:type="dxa"/>
            <w:shd w:val="clear" w:color="auto" w:fill="FFF4E5"/>
          </w:tcPr>
          <w:p>
            <w:pPr>
              <w:rPr>
                <w:rFonts w:hint="eastAsia" w:ascii="微软雅黑" w:hAnsi="微软雅黑" w:eastAsia="微软雅黑" w:cs="微软雅黑"/>
              </w:rPr>
            </w:pPr>
            <w:r>
              <w:rPr>
                <w:rFonts w:hint="eastAsia" w:ascii="微软雅黑" w:hAnsi="微软雅黑" w:eastAsia="微软雅黑" w:cs="微软雅黑"/>
                <w:b/>
                <w:color w:val="17365D"/>
              </w:rPr>
              <w:t>关键判断：</w:t>
            </w:r>
            <w:r>
              <w:rPr>
                <w:rFonts w:hint="eastAsia" w:ascii="微软雅黑" w:hAnsi="微软雅黑" w:eastAsia="微软雅黑" w:cs="微软雅黑"/>
              </w:rPr>
              <w:t>当前阶段需要模拟的是“3.3 的对外输出行为”，而不是复制 3.3 内部业务功能。3.6 只依赖稳定的外部接口契约。</w:t>
            </w:r>
          </w:p>
        </w:tc>
      </w:tr>
    </w:tbl>
    <w:p>
      <w:pPr>
        <w:rPr>
          <w:rFonts w:hint="eastAsia" w:ascii="微软雅黑" w:hAnsi="微软雅黑" w:eastAsia="微软雅黑" w:cs="微软雅黑"/>
        </w:rPr>
      </w:pPr>
    </w:p>
    <w:p>
      <w:pPr>
        <w:pStyle w:val="4"/>
        <w:keepNext/>
      </w:pPr>
      <w:r>
        <w:rPr>
          <w:color w:val="000000"/>
        </w:rPr>
        <w:t>2.1 标书要求与补全措施对照</w:t>
      </w:r>
    </w:p>
    <w:p>
      <w:pPr>
        <w:widowControl/>
      </w:pPr>
      <w:r>
        <w:t>本表按标书中需求分析、综合测试系统、总线测试系统、硬件在环仿真飞行验证系统及系统交互标题定位。正文保留原文章节简称3.3/3.4/3.6；标书内部存在4.x交叉引用时，以标题和设备名称交叉核对。</w:t>
      </w:r>
    </w:p>
    <w:tbl>
      <w:tblPr>
        <w:tblW w:type="auto" w:w="0"/>
        <w:jc w:val="center"/>
        <w:tblLayout w:type="fixed"/>
        <w:tblLook w:firstColumn="1" w:firstRow="1" w:lastColumn="0" w:lastRow="0" w:noHBand="0" w:noVBand="1" w:val="04A0"/>
      </w:tblPr>
      <w:tblGrid>
        <w:gridCol w:w="1757"/>
        <w:gridCol w:w="3402"/>
        <w:gridCol w:w="4649"/>
      </w:tblGrid>
      <w:tr>
        <w:trPr>
          <w:tblHeader/>
          <w:cantSplit/>
        </w:trPr>
        <w:tc>
          <w:tcPr>
            <w:tcW w:type="dxa" w:w="1757"/>
            <w:vAlign w:val="center"/>
            <w:shd w:fill="DCE9F4"/>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spacing w:after="40" w:before="0" w:line="269" w:lineRule="auto"/>
            </w:pPr>
            <w:r>
              <w:rPr>
                <w:b/>
                <w:color w:val="000000"/>
                <w:sz w:val="19"/>
              </w:rPr>
              <w:t>编号与来源</w:t>
            </w:r>
          </w:p>
        </w:tc>
        <w:tc>
          <w:tcPr>
            <w:tcW w:type="dxa" w:w="3402"/>
            <w:vAlign w:val="center"/>
            <w:shd w:fill="DCE9F4"/>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spacing w:after="40" w:before="0" w:line="269" w:lineRule="auto"/>
            </w:pPr>
            <w:r>
              <w:rPr>
                <w:b/>
                <w:color w:val="000000"/>
                <w:sz w:val="19"/>
              </w:rPr>
              <w:t>要求或规格</w:t>
            </w:r>
          </w:p>
        </w:tc>
        <w:tc>
          <w:tcPr>
            <w:tcW w:type="dxa" w:w="4649"/>
            <w:vAlign w:val="center"/>
            <w:shd w:fill="DCE9F4"/>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spacing w:after="40" w:before="0" w:line="269" w:lineRule="auto"/>
            </w:pPr>
            <w:r>
              <w:rPr>
                <w:b/>
                <w:color w:val="000000"/>
                <w:sz w:val="19"/>
              </w:rPr>
              <w:t>本方案补全措施</w:t>
            </w:r>
          </w:p>
        </w:tc>
      </w:tr>
      <w:tr>
        <w:trPr>
          <w:cantSplit/>
        </w:trPr>
        <w:tc>
          <w:tcPr>
            <w:tcW w:type="dxa" w:w="1757"/>
            <w:vAlign w:val="cente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before="0" w:after="40" w:line="269" w:lineRule="auto"/>
            </w:pPr>
            <w:r>
              <w:rPr>
                <w:color w:val="000000"/>
                <w:sz w:val="19"/>
              </w:rPr>
              <w:t>R01 系统交互</w:t>
            </w:r>
          </w:p>
        </w:tc>
        <w:tc>
          <w:tcPr>
            <w:tcW w:type="dxa" w:w="3402"/>
            <w:vAlign w:val="cente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before="0" w:after="40" w:line="269" w:lineRule="auto"/>
            </w:pPr>
            <w:r>
              <w:rPr>
                <w:color w:val="000000"/>
                <w:sz w:val="19"/>
              </w:rPr>
              <w:t>3.3与3.6经CANFD/车载以太网互通；输入用于场景，仿真结果用于验证</w:t>
            </w:r>
          </w:p>
        </w:tc>
        <w:tc>
          <w:tcPr>
            <w:tcW w:type="dxa" w:w="4649"/>
            <w:vAlign w:val="cente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before="0" w:after="40" w:line="269" w:lineRule="auto"/>
            </w:pPr>
            <w:r>
              <w:rPr>
                <w:color w:val="000000"/>
                <w:sz w:val="19"/>
              </w:rPr>
              <w:t>三方共同冻结同一正式ICD；统一双向接入、反馈与断言；仅配置切换并回归</w:t>
            </w:r>
          </w:p>
        </w:tc>
      </w:tr>
      <w:tr>
        <w:trPr>
          <w:cantSplit/>
        </w:trPr>
        <w:tc>
          <w:tcPr>
            <w:tcW w:type="dxa" w:w="1757"/>
            <w:vAlign w:val="center"/>
            <w:shd w:fill="F4F6F8"/>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before="0" w:line="269" w:lineRule="auto"/>
            </w:pPr>
            <w:r>
              <w:rPr>
                <w:b w:val="0"/>
                <w:color w:val="000000"/>
                <w:sz w:val="19"/>
              </w:rPr>
              <w:t>R02 3.3设计</w:t>
            </w:r>
          </w:p>
        </w:tc>
        <w:tc>
          <w:tcPr>
            <w:tcW w:type="dxa" w:w="3402"/>
            <w:vAlign w:val="center"/>
            <w:shd w:fill="F4F6F8"/>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before="0" w:line="269" w:lineRule="auto"/>
            </w:pPr>
            <w:r>
              <w:rPr>
                <w:b w:val="0"/>
                <w:color w:val="000000"/>
                <w:sz w:val="19"/>
              </w:rPr>
              <w:t>6个席位；12路CANFD、8路车载以太网、16路CAN</w:t>
            </w:r>
          </w:p>
        </w:tc>
        <w:tc>
          <w:tcPr>
            <w:tcW w:type="dxa" w:w="4649"/>
            <w:vAlign w:val="center"/>
            <w:shd w:fill="F4F6F8"/>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before="0" w:line="269" w:lineRule="auto"/>
            </w:pPr>
            <w:r>
              <w:rPr>
                <w:b w:val="0"/>
                <w:color w:val="000000"/>
                <w:sz w:val="19"/>
              </w:rPr>
              <w:t>按3.6用例分配模拟通道；接入前确认资源共享和独占锁</w:t>
            </w:r>
          </w:p>
        </w:tc>
      </w:tr>
      <w:tr>
        <w:trPr>
          <w:cantSplit/>
        </w:trPr>
        <w:tc>
          <w:tcPr>
            <w:tcW w:type="dxa" w:w="1757"/>
            <w:vAlign w:val="cente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before="0" w:line="269" w:lineRule="auto"/>
            </w:pPr>
            <w:r>
              <w:rPr>
                <w:b w:val="0"/>
                <w:color w:val="000000"/>
                <w:sz w:val="19"/>
              </w:rPr>
              <w:t>R03 3.3软件</w:t>
            </w:r>
          </w:p>
        </w:tc>
        <w:tc>
          <w:tcPr>
            <w:tcW w:type="dxa" w:w="3402"/>
            <w:vAlign w:val="cente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before="0" w:line="269" w:lineRule="auto"/>
            </w:pPr>
            <w:r>
              <w:rPr>
                <w:b w:val="0"/>
                <w:color w:val="000000"/>
                <w:sz w:val="19"/>
              </w:rPr>
              <w:t>周期收发1 ms～10 s；多设备时钟同步误差≤1 ms；ICD解算、存储、报告</w:t>
            </w:r>
          </w:p>
        </w:tc>
        <w:tc>
          <w:tcPr>
            <w:tcW w:type="dxa" w:w="4649"/>
            <w:vAlign w:val="cente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before="0" w:line="269" w:lineRule="auto"/>
            </w:pPr>
            <w:r>
              <w:rPr>
                <w:b w:val="0"/>
                <w:color w:val="000000"/>
                <w:sz w:val="19"/>
              </w:rPr>
              <w:t>各消息独立调度；记录原码与工程量；同步精度在真实硬件阶段测量</w:t>
            </w:r>
          </w:p>
        </w:tc>
      </w:tr>
      <w:tr>
        <w:trPr>
          <w:cantSplit/>
        </w:trPr>
        <w:tc>
          <w:tcPr>
            <w:tcW w:type="dxa" w:w="1757"/>
            <w:vAlign w:val="center"/>
            <w:shd w:fill="F4F6F8"/>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before="0" w:line="269" w:lineRule="auto"/>
            </w:pPr>
            <w:r>
              <w:rPr>
                <w:b w:val="0"/>
                <w:color w:val="000000"/>
                <w:sz w:val="19"/>
              </w:rPr>
              <w:t>R04 需求分析</w:t>
            </w:r>
          </w:p>
        </w:tc>
        <w:tc>
          <w:tcPr>
            <w:tcW w:type="dxa" w:w="3402"/>
            <w:vAlign w:val="center"/>
            <w:shd w:fill="F4F6F8"/>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before="0" w:line="269" w:lineRule="auto"/>
            </w:pPr>
            <w:r>
              <w:rPr>
                <w:b w:val="0"/>
                <w:color w:val="000000"/>
                <w:sz w:val="19"/>
              </w:rPr>
              <w:t>综合测试系统数据稳定通信周期可达80 ms±1 ms</w:t>
            </w:r>
          </w:p>
        </w:tc>
        <w:tc>
          <w:tcPr>
            <w:tcW w:type="dxa" w:w="4649"/>
            <w:vAlign w:val="center"/>
            <w:shd w:fill="F4F6F8"/>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before="0" w:line="269" w:lineRule="auto"/>
            </w:pPr>
            <w:r>
              <w:rPr>
                <w:b w:val="0"/>
                <w:color w:val="000000"/>
                <w:sz w:val="19"/>
              </w:rPr>
              <w:t>定义测量端点、统计窗口和适用流；与模型周期分开验证</w:t>
            </w:r>
          </w:p>
        </w:tc>
      </w:tr>
      <w:tr>
        <w:trPr>
          <w:cantSplit/>
        </w:trPr>
        <w:tc>
          <w:tcPr>
            <w:tcW w:type="dxa" w:w="1757"/>
            <w:vAlign w:val="cente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before="0" w:line="269" w:lineRule="auto"/>
            </w:pPr>
            <w:r>
              <w:rPr>
                <w:b w:val="0"/>
                <w:color w:val="000000"/>
                <w:sz w:val="19"/>
              </w:rPr>
              <w:t>R05 3.4软件</w:t>
            </w:r>
          </w:p>
        </w:tc>
        <w:tc>
          <w:tcPr>
            <w:tcW w:type="dxa" w:w="3402"/>
            <w:vAlign w:val="cente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before="0" w:line="269" w:lineRule="auto"/>
            </w:pPr>
            <w:r>
              <w:rPr>
                <w:b w:val="0"/>
                <w:color w:val="000000"/>
                <w:sz w:val="19"/>
              </w:rPr>
              <w:t>物理波形与原码同步；延迟/周期/负载分析；故障、记录与回放</w:t>
            </w:r>
          </w:p>
        </w:tc>
        <w:tc>
          <w:tcPr>
            <w:tcW w:type="dxa" w:w="4649"/>
            <w:vAlign w:val="cente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before="0" w:line="269" w:lineRule="auto"/>
            </w:pPr>
            <w:r>
              <w:rPr>
                <w:b w:val="0"/>
                <w:color w:val="000000"/>
                <w:sz w:val="19"/>
              </w:rPr>
              <w:t>共享追溯ID和时间基准；软件故障与物理故障分级；提供监控证据</w:t>
            </w:r>
          </w:p>
        </w:tc>
      </w:tr>
      <w:tr>
        <w:trPr>
          <w:cantSplit/>
        </w:trPr>
        <w:tc>
          <w:tcPr>
            <w:tcW w:type="dxa" w:w="1757"/>
            <w:vAlign w:val="center"/>
            <w:shd w:fill="F4F6F8"/>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before="0" w:line="269" w:lineRule="auto"/>
            </w:pPr>
            <w:r>
              <w:rPr>
                <w:b w:val="0"/>
                <w:color w:val="000000"/>
                <w:sz w:val="19"/>
              </w:rPr>
              <w:t>R06 3.6功能</w:t>
            </w:r>
          </w:p>
        </w:tc>
        <w:tc>
          <w:tcPr>
            <w:tcW w:type="dxa" w:w="3402"/>
            <w:vAlign w:val="center"/>
            <w:shd w:fill="F4F6F8"/>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before="0" w:line="269" w:lineRule="auto"/>
            </w:pPr>
            <w:r>
              <w:rPr>
                <w:b w:val="0"/>
                <w:color w:val="000000"/>
                <w:sz w:val="19"/>
              </w:rPr>
              <w:t>B/S模型管理、生成、下载、启停、参数显示与数据回放</w:t>
            </w:r>
          </w:p>
        </w:tc>
        <w:tc>
          <w:tcPr>
            <w:tcW w:type="dxa" w:w="4649"/>
            <w:vAlign w:val="center"/>
            <w:shd w:fill="F4F6F8"/>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before="0" w:line="269" w:lineRule="auto"/>
            </w:pPr>
            <w:r>
              <w:rPr>
                <w:b w:val="0"/>
                <w:color w:val="000000"/>
                <w:sz w:val="19"/>
              </w:rPr>
              <w:t>使用既有管理接口编排；模型包由受控模型管理系统提供</w:t>
            </w:r>
          </w:p>
        </w:tc>
      </w:tr>
      <w:tr>
        <w:trPr>
          <w:cantSplit/>
        </w:trPr>
        <w:tc>
          <w:tcPr>
            <w:tcW w:type="dxa" w:w="1757"/>
            <w:vAlign w:val="cente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before="0" w:line="269" w:lineRule="auto"/>
            </w:pPr>
            <w:r>
              <w:rPr>
                <w:b w:val="0"/>
                <w:color w:val="000000"/>
                <w:sz w:val="19"/>
              </w:rPr>
              <w:t>R07 3.6设备规格</w:t>
            </w:r>
          </w:p>
        </w:tc>
        <w:tc>
          <w:tcPr>
            <w:tcW w:type="dxa" w:w="3402"/>
            <w:vAlign w:val="cente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before="0" w:line="269" w:lineRule="auto"/>
            </w:pPr>
            <w:r>
              <w:rPr>
                <w:b w:val="0"/>
                <w:color w:val="000000"/>
                <w:sz w:val="19"/>
              </w:rPr>
              <w:t>模型运算周期可达1 ms±10 μs</w:t>
            </w:r>
          </w:p>
        </w:tc>
        <w:tc>
          <w:tcPr>
            <w:tcW w:type="dxa" w:w="4649"/>
            <w:vAlign w:val="cente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before="0" w:line="269" w:lineRule="auto"/>
            </w:pPr>
            <w:r>
              <w:rPr>
                <w:b w:val="0"/>
                <w:color w:val="000000"/>
                <w:sz w:val="19"/>
              </w:rPr>
              <w:t>在目标实时系统测量模型周期，保留全量统计和超差明细</w:t>
            </w:r>
          </w:p>
        </w:tc>
      </w:tr>
      <w:tr>
        <w:trPr>
          <w:cantSplit/>
        </w:trPr>
        <w:tc>
          <w:tcPr>
            <w:tcW w:type="dxa" w:w="1757"/>
            <w:vAlign w:val="center"/>
            <w:shd w:fill="F4F6F8"/>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before="0" w:line="269" w:lineRule="auto"/>
            </w:pPr>
            <w:r>
              <w:rPr>
                <w:b w:val="0"/>
                <w:color w:val="000000"/>
                <w:sz w:val="19"/>
              </w:rPr>
              <w:t>R08 3.6设备规格</w:t>
            </w:r>
          </w:p>
        </w:tc>
        <w:tc>
          <w:tcPr>
            <w:tcW w:type="dxa" w:w="3402"/>
            <w:vAlign w:val="center"/>
            <w:shd w:fill="F4F6F8"/>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before="0" w:line="269" w:lineRule="auto"/>
            </w:pPr>
            <w:r>
              <w:rPr>
                <w:b w:val="0"/>
                <w:color w:val="000000"/>
                <w:sz w:val="19"/>
              </w:rPr>
              <w:t>CANFD 4路/最大8 Mbps；CAN 4路/最大1 Mbps；车载以太网4路/最大1 Gbps</w:t>
            </w:r>
          </w:p>
        </w:tc>
        <w:tc>
          <w:tcPr>
            <w:tcW w:type="dxa" w:w="4649"/>
            <w:vAlign w:val="center"/>
            <w:shd w:fill="F4F6F8"/>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before="0" w:line="269" w:lineRule="auto"/>
            </w:pPr>
            <w:r>
              <w:rPr>
                <w:b w:val="0"/>
                <w:color w:val="000000"/>
                <w:sz w:val="19"/>
              </w:rPr>
              <w:t>定义通道、仲裁/数据速率、负载和接线；分别进行硬件回归</w:t>
            </w:r>
          </w:p>
        </w:tc>
      </w:tr>
      <w:tr>
        <w:trPr>
          <w:cantSplit/>
        </w:trPr>
        <w:tc>
          <w:tcPr>
            <w:tcW w:type="dxa" w:w="1757"/>
            <w:vAlign w:val="cente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before="0" w:line="269" w:lineRule="auto"/>
            </w:pPr>
            <w:r>
              <w:rPr>
                <w:b w:val="0"/>
                <w:color w:val="000000"/>
                <w:sz w:val="19"/>
              </w:rPr>
              <w:t>R09 3.6设备规格</w:t>
            </w:r>
          </w:p>
        </w:tc>
        <w:tc>
          <w:tcPr>
            <w:tcW w:type="dxa" w:w="3402"/>
            <w:vAlign w:val="cente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before="0" w:line="269" w:lineRule="auto"/>
            </w:pPr>
            <w:r>
              <w:rPr>
                <w:b w:val="0"/>
                <w:color w:val="000000"/>
                <w:sz w:val="19"/>
              </w:rPr>
              <w:t>RS232 4路；RS422 8路；最大406800 bps</w:t>
            </w:r>
          </w:p>
        </w:tc>
        <w:tc>
          <w:tcPr>
            <w:tcW w:type="dxa" w:w="4649"/>
            <w:vAlign w:val="cente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before="0" w:line="269" w:lineRule="auto"/>
            </w:pPr>
            <w:r>
              <w:rPr>
                <w:b w:val="0"/>
                <w:color w:val="000000"/>
                <w:sz w:val="19"/>
              </w:rPr>
              <w:t>增加串口编解码与驱动适配；软件模拟后测试实际接口速率</w:t>
            </w:r>
          </w:p>
        </w:tc>
      </w:tr>
      <w:tr>
        <w:trPr>
          <w:cantSplit/>
        </w:trPr>
        <w:tc>
          <w:tcPr>
            <w:tcW w:type="dxa" w:w="1757"/>
            <w:vAlign w:val="center"/>
            <w:shd w:fill="F4F6F8"/>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before="0" w:line="269" w:lineRule="auto"/>
            </w:pPr>
            <w:r>
              <w:rPr>
                <w:b w:val="0"/>
                <w:color w:val="000000"/>
                <w:sz w:val="19"/>
              </w:rPr>
              <w:t>R10 3.6设备规格</w:t>
            </w:r>
          </w:p>
        </w:tc>
        <w:tc>
          <w:tcPr>
            <w:tcW w:type="dxa" w:w="3402"/>
            <w:vAlign w:val="center"/>
            <w:shd w:fill="F4F6F8"/>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before="0" w:line="269" w:lineRule="auto"/>
            </w:pPr>
            <w:r>
              <w:rPr>
                <w:b w:val="0"/>
                <w:color w:val="000000"/>
                <w:sz w:val="19"/>
              </w:rPr>
              <w:t>AD 8路：250 kS/s、16位、±10 V、±30 mV</w:t>
            </w:r>
          </w:p>
        </w:tc>
        <w:tc>
          <w:tcPr>
            <w:tcW w:type="dxa" w:w="4649"/>
            <w:vAlign w:val="center"/>
            <w:shd w:fill="F4F6F8"/>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before="0" w:line="269" w:lineRule="auto"/>
            </w:pPr>
            <w:r>
              <w:rPr>
                <w:b w:val="0"/>
                <w:color w:val="000000"/>
                <w:sz w:val="19"/>
              </w:rPr>
              <w:t>软件阶段校验工程量映射；硬件阶段完成量程与精度测量</w:t>
            </w:r>
          </w:p>
        </w:tc>
      </w:tr>
      <w:tr>
        <w:trPr>
          <w:cantSplit/>
        </w:trPr>
        <w:tc>
          <w:tcPr>
            <w:tcW w:type="dxa" w:w="1757"/>
            <w:vAlign w:val="cente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before="0" w:line="269" w:lineRule="auto"/>
            </w:pPr>
            <w:r>
              <w:rPr>
                <w:b w:val="0"/>
                <w:color w:val="000000"/>
                <w:sz w:val="19"/>
              </w:rPr>
              <w:t>R11 3.6设备规格</w:t>
            </w:r>
          </w:p>
        </w:tc>
        <w:tc>
          <w:tcPr>
            <w:tcW w:type="dxa" w:w="3402"/>
            <w:vAlign w:val="cente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before="0" w:line="269" w:lineRule="auto"/>
            </w:pPr>
            <w:r>
              <w:rPr>
                <w:b w:val="0"/>
                <w:color w:val="000000"/>
                <w:sz w:val="19"/>
              </w:rPr>
              <w:t>DA 8路：16位、±10 V、转换&lt;10 μs、±30 mV；IO 16路TTL兼容CMOS</w:t>
            </w:r>
          </w:p>
        </w:tc>
        <w:tc>
          <w:tcPr>
            <w:tcW w:type="dxa" w:w="4649"/>
            <w:vAlign w:val="cente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before="0" w:line="269" w:lineRule="auto"/>
            </w:pPr>
            <w:r>
              <w:rPr>
                <w:b w:val="0"/>
                <w:color w:val="000000"/>
                <w:sz w:val="19"/>
              </w:rPr>
              <w:t>加入通道方向/量程/安全值表；按测量仪器记录电气证据</w:t>
            </w:r>
          </w:p>
        </w:tc>
      </w:tr>
      <w:tr>
        <w:trPr>
          <w:cantSplit/>
        </w:trPr>
        <w:tc>
          <w:tcPr>
            <w:tcW w:type="dxa" w:w="1757"/>
            <w:vAlign w:val="center"/>
            <w:shd w:fill="F4F6F8"/>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before="0" w:line="269" w:lineRule="auto"/>
            </w:pPr>
            <w:r>
              <w:rPr>
                <w:b w:val="0"/>
                <w:color w:val="000000"/>
                <w:sz w:val="19"/>
              </w:rPr>
              <w:t>R12 3.6适配模块</w:t>
            </w:r>
          </w:p>
        </w:tc>
        <w:tc>
          <w:tcPr>
            <w:tcW w:type="dxa" w:w="3402"/>
            <w:vAlign w:val="center"/>
            <w:shd w:fill="F4F6F8"/>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before="0" w:line="269" w:lineRule="auto"/>
            </w:pPr>
            <w:r>
              <w:rPr>
                <w:b w:val="0"/>
                <w:color w:val="000000"/>
                <w:sz w:val="19"/>
              </w:rPr>
              <w:t>信号通断、真实/虚拟切换、调理及关键信号测量</w:t>
            </w:r>
          </w:p>
        </w:tc>
        <w:tc>
          <w:tcPr>
            <w:tcW w:type="dxa" w:w="4649"/>
            <w:vAlign w:val="center"/>
            <w:shd w:fill="F4F6F8"/>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before="0" w:line="269" w:lineRule="auto"/>
            </w:pPr>
            <w:r>
              <w:rPr>
                <w:b w:val="0"/>
                <w:color w:val="000000"/>
                <w:sz w:val="19"/>
              </w:rPr>
              <w:t>切换前停发并进入安全态；确认接线与继电器位置后授权新源</w:t>
            </w:r>
          </w:p>
        </w:tc>
      </w:tr>
      <w:tr>
        <w:trPr>
          <w:cantSplit/>
        </w:trPr>
        <w:tc>
          <w:tcPr>
            <w:tcW w:type="dxa" w:w="1757"/>
            <w:vAlign w:val="cente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before="0" w:line="269" w:lineRule="auto"/>
            </w:pPr>
            <w:r>
              <w:rPr>
                <w:b w:val="0"/>
                <w:color w:val="000000"/>
                <w:sz w:val="19"/>
              </w:rPr>
              <w:t>R13 3.6模型软件</w:t>
            </w:r>
          </w:p>
        </w:tc>
        <w:tc>
          <w:tcPr>
            <w:tcW w:type="dxa" w:w="3402"/>
            <w:vAlign w:val="cente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before="0" w:line="269" w:lineRule="auto"/>
            </w:pPr>
            <w:r>
              <w:rPr>
                <w:b w:val="0"/>
                <w:color w:val="000000"/>
                <w:sz w:val="19"/>
              </w:rPr>
              <w:t>Simulink加载、解算、在线调参、物理接口库与端口映射</w:t>
            </w:r>
          </w:p>
        </w:tc>
        <w:tc>
          <w:tcPr>
            <w:tcW w:type="dxa" w:w="4649"/>
            <w:vAlign w:val="cente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before="0" w:line="269" w:lineRule="auto"/>
            </w:pPr>
            <w:r>
              <w:rPr>
                <w:b w:val="0"/>
                <w:color w:val="000000"/>
                <w:sz w:val="19"/>
              </w:rPr>
              <w:t>建立外部ICD到hil_contract.json和通道的三方映射；逐字段探针验证</w:t>
            </w:r>
          </w:p>
        </w:tc>
      </w:tr>
      <w:tr>
        <w:trPr>
          <w:cantSplit/>
        </w:trPr>
        <w:tc>
          <w:tcPr>
            <w:tcW w:type="dxa" w:w="1757"/>
            <w:vAlign w:val="center"/>
            <w:shd w:fill="F4F6F8"/>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before="0" w:line="269" w:lineRule="auto"/>
            </w:pPr>
            <w:r>
              <w:rPr>
                <w:b w:val="0"/>
                <w:color w:val="000000"/>
                <w:sz w:val="19"/>
              </w:rPr>
              <w:t>R14 3.6图像注入</w:t>
            </w:r>
          </w:p>
        </w:tc>
        <w:tc>
          <w:tcPr>
            <w:tcW w:type="dxa" w:w="3402"/>
            <w:vAlign w:val="center"/>
            <w:shd w:fill="F4F6F8"/>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before="0" w:line="269" w:lineRule="auto"/>
            </w:pPr>
            <w:r>
              <w:rPr>
                <w:b w:val="0"/>
                <w:color w:val="000000"/>
                <w:sz w:val="19"/>
              </w:rPr>
              <w:t>视频加载、实时触发、与飞行运算同步；视频标注与时机管理</w:t>
            </w:r>
          </w:p>
        </w:tc>
        <w:tc>
          <w:tcPr>
            <w:tcW w:type="dxa" w:w="4649"/>
            <w:vAlign w:val="center"/>
            <w:shd w:fill="F4F6F8"/>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before="0" w:line="269" w:lineRule="auto"/>
            </w:pPr>
            <w:r>
              <w:rPr>
                <w:b w:val="0"/>
                <w:color w:val="000000"/>
                <w:sz w:val="19"/>
              </w:rPr>
              <w:t>独立视频注入服务，绑定run_id、仿真时间、帧号、触发与完成事件</w:t>
            </w:r>
          </w:p>
        </w:tc>
      </w:tr>
      <w:tr>
        <w:trPr>
          <w:cantSplit/>
        </w:trPr>
        <w:tc>
          <w:tcPr>
            <w:tcW w:type="dxa" w:w="1757"/>
            <w:vAlign w:val="cente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before="0" w:line="269" w:lineRule="auto"/>
            </w:pPr>
            <w:r>
              <w:rPr>
                <w:b w:val="0"/>
                <w:color w:val="000000"/>
                <w:sz w:val="19"/>
              </w:rPr>
              <w:t>R15 图像设备规格</w:t>
            </w:r>
          </w:p>
        </w:tc>
        <w:tc>
          <w:tcPr>
            <w:tcW w:type="dxa" w:w="3402"/>
            <w:vAlign w:val="cente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before="0" w:line="269" w:lineRule="auto"/>
            </w:pPr>
            <w:r>
              <w:rPr>
                <w:b w:val="0"/>
                <w:color w:val="000000"/>
                <w:sz w:val="19"/>
              </w:rPr>
              <w:t>运算周期10 ms±0.1 ms；同步RS422 2路；车载以太网2路且≥1 Gbps</w:t>
            </w:r>
          </w:p>
        </w:tc>
        <w:tc>
          <w:tcPr>
            <w:tcW w:type="dxa" w:w="4649"/>
            <w:vAlign w:val="cente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before="0" w:line="269" w:lineRule="auto"/>
            </w:pPr>
            <w:r>
              <w:rPr>
                <w:b w:val="0"/>
                <w:color w:val="000000"/>
                <w:sz w:val="19"/>
              </w:rPr>
              <w:t>与视频帧率分开测量；真实接口与时钟验证单列交付</w:t>
            </w:r>
          </w:p>
        </w:tc>
      </w:tr>
      <w:tr>
        <w:trPr>
          <w:cantSplit/>
        </w:trPr>
        <w:tc>
          <w:tcPr>
            <w:tcW w:type="dxa" w:w="1757"/>
            <w:vAlign w:val="center"/>
            <w:shd w:fill="F4F6F8"/>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before="0" w:line="269" w:lineRule="auto"/>
            </w:pPr>
            <w:r>
              <w:rPr>
                <w:b w:val="0"/>
                <w:color w:val="000000"/>
                <w:sz w:val="19"/>
              </w:rPr>
              <w:t>R16 3.6地面站</w:t>
            </w:r>
          </w:p>
        </w:tc>
        <w:tc>
          <w:tcPr>
            <w:tcW w:type="dxa" w:w="3402"/>
            <w:vAlign w:val="center"/>
            <w:shd w:fill="F4F6F8"/>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before="0" w:line="269" w:lineRule="auto"/>
            </w:pPr>
            <w:r>
              <w:rPr>
                <w:b w:val="0"/>
                <w:color w:val="000000"/>
                <w:sz w:val="19"/>
              </w:rPr>
              <w:t>买方提供地面站，部署环境与有线指控模拟</w:t>
            </w:r>
          </w:p>
        </w:tc>
        <w:tc>
          <w:tcPr>
            <w:tcW w:type="dxa" w:w="4649"/>
            <w:vAlign w:val="center"/>
            <w:shd w:fill="F4F6F8"/>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before="0" w:line="269" w:lineRule="auto"/>
            </w:pPr>
            <w:r>
              <w:rPr>
                <w:b w:val="0"/>
                <w:color w:val="000000"/>
                <w:sz w:val="19"/>
              </w:rPr>
              <w:t>模拟器产生规定任务/航线测试数据；对接地面站协议并验证任务结果</w:t>
            </w:r>
          </w:p>
        </w:tc>
      </w:tr>
      <w:tr>
        <w:trPr>
          <w:cantSplit/>
        </w:trPr>
        <w:tc>
          <w:tcPr>
            <w:tcW w:type="dxa" w:w="1757"/>
            <w:vAlign w:val="cente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before="0" w:line="269" w:lineRule="auto"/>
            </w:pPr>
            <w:r>
              <w:rPr>
                <w:b w:val="0"/>
                <w:color w:val="000000"/>
                <w:sz w:val="19"/>
              </w:rPr>
              <w:t>R17 系统集成与验收</w:t>
            </w:r>
          </w:p>
        </w:tc>
        <w:tc>
          <w:tcPr>
            <w:tcW w:type="dxa" w:w="3402"/>
            <w:vAlign w:val="cente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before="0" w:line="269" w:lineRule="auto"/>
            </w:pPr>
            <w:r>
              <w:rPr>
                <w:b w:val="0"/>
                <w:color w:val="000000"/>
                <w:sz w:val="19"/>
              </w:rPr>
              <w:t>同一局域网；独立机柜与航插；验收大纲经买方认可</w:t>
            </w:r>
          </w:p>
        </w:tc>
        <w:tc>
          <w:tcPr>
            <w:tcW w:type="dxa" w:w="4649"/>
            <w:vAlign w:val="cente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before="0" w:line="269" w:lineRule="auto"/>
            </w:pPr>
            <w:r>
              <w:rPr>
                <w:b w:val="0"/>
                <w:color w:val="000000"/>
                <w:sz w:val="19"/>
              </w:rPr>
              <w:t>形成接线/资源清单、用例及证据包；终验按认可大纲执行</w:t>
            </w:r>
          </w:p>
        </w:tc>
      </w:tr>
    </w:tbl>
    <w:p/>
    <w:p>
      <w:pPr>
        <w:pStyle w:val="4"/>
        <w:keepNext/>
      </w:pPr>
      <w:r>
        <w:rPr>
          <w:color w:val="000000"/>
        </w:rPr>
        <w:t>2.2 标书技术路线与当前实现差异</w:t>
      </w:r>
    </w:p>
    <w:p>
      <w:pPr>
        <w:widowControl/>
      </w:pPr>
      <w:r>
        <w:t>标书设计描述包含PX4/Gazebo/ROS协同仿真、Simulink Real-Time工具链和反射内存显示链路。当前仓库采用Simulink ERT生成模型、C实时核心及Python TCP/UDP适配，并连接AirSim/UE4显示。模拟器不能消除这些路线差异。是否接受现有路线、是否补充反射内存与接口库，由项目技术基线和验收大纲明确；列为系统集成前的确认项。</w:t>
      </w:r>
    </w:p>
    <w:p>
      <w:pPr>
        <w:widowControl/>
      </w:pPr>
      <w:r>
        <w:t>标书中“共用硬件载体”与3.3/3.4分别配置接口设备的描述需要通过资源分配表统一：确认哪些接口共用、哪些独立、谁控制发送和故障注入，避免监控或回放过程与闭环激励争用设备。</w:t>
      </w:r>
    </w:p>
    <w:p>
      <w:pPr>
        <w:widowControl/>
      </w:pPr>
      <w:r>
        <w:t>3.3其余接口包括32路AD、16路DA、32路TTL IO、8路电阻输出、2路频率输出、32路脉冲/周期测量、32路功率负载及16路28 V开关量采集；配套断连箱和5 V、±12 V、28 V供电插孔。它们继续纳入3.3资源池及硬件交付。3.6只按自身用例借用所需资源，不用同名工程量软件消息代替这些设备的电气性能。</w:t>
      </w:r>
    </w:p>
    <w:p>
      <w:pPr>
        <w:pStyle w:val="3"/>
        <w:keepNext/>
        <w:rPr>
          <w:rFonts w:hint="eastAsia" w:ascii="微软雅黑" w:hAnsi="微软雅黑" w:eastAsia="微软雅黑" w:cs="微软雅黑"/>
        </w:rPr>
      </w:pPr>
      <w:r>
        <w:rPr>
          <w:rFonts w:hint="eastAsia" w:ascii="微软雅黑" w:hAnsi="微软雅黑" w:eastAsia="微软雅黑" w:cs="微软雅黑"/>
          <w:color w:val="000000"/>
        </w:rPr>
        <w:t>3. 总体解决方案</w:t>
      </w:r>
    </w:p>
    <w:p>
      <w:pPr>
        <w:widowControl/>
        <w:rPr>
          <w:rFonts w:hint="eastAsia" w:ascii="微软雅黑" w:hAnsi="微软雅黑" w:eastAsia="微软雅黑" w:cs="微软雅黑"/>
        </w:rPr>
      </w:pPr>
      <w:r>
        <w:t>模拟器和真实3.3均接入同一3.6标准接入服务，遵循同一正式ICD及对应传输配置。服务使用同一接收校验、编解码、模型映射和反馈路径，不按mock/real身份改变消息含义、限幅、时序或安全处理。来源身份仅用于统一鉴权、互斥授权和审计，不作为模型业务分支条件。</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64"/>
        <w:gridCol w:w="2464"/>
        <w:gridCol w:w="2464"/>
        <w:gridCol w:w="246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blHeader/>
          <w:cantSplit/>
        </w:trPr>
        <w:tc>
          <w:tcPr>
            <w:tcW w:w="2464" w:type="dxa"/>
            <w:shd w:val="clear" w:color="auto" w:fill="2F5597"/>
            <w:vAlign w:val="center"/>
          </w:tcPr>
          <w:p>
            <w:pPr>
              <w:keepNext/>
              <w:jc w:val="center"/>
              <w:rPr>
                <w:rFonts w:hint="eastAsia" w:ascii="微软雅黑" w:hAnsi="微软雅黑" w:eastAsia="微软雅黑" w:cs="微软雅黑"/>
              </w:rPr>
            </w:pPr>
            <w:r>
              <w:rPr>
                <w:rFonts w:hint="eastAsia" w:ascii="微软雅黑" w:hAnsi="微软雅黑" w:eastAsia="微软雅黑" w:cs="微软雅黑"/>
                <w:b/>
                <w:color w:val="FFFFFF"/>
                <w:sz w:val="18"/>
              </w:rPr>
              <w:t>阶段</w:t>
            </w:r>
          </w:p>
        </w:tc>
        <w:tc>
          <w:tcPr>
            <w:tcW w:w="2464" w:type="dxa"/>
            <w:shd w:val="clear" w:color="auto" w:fill="2F5597"/>
            <w:vAlign w:val="center"/>
          </w:tcPr>
          <w:p>
            <w:pPr>
              <w:keepNext/>
              <w:jc w:val="center"/>
              <w:rPr>
                <w:rFonts w:hint="eastAsia" w:ascii="微软雅黑" w:hAnsi="微软雅黑" w:eastAsia="微软雅黑" w:cs="微软雅黑"/>
              </w:rPr>
            </w:pPr>
            <w:r>
              <w:rPr>
                <w:rFonts w:hint="eastAsia" w:ascii="微软雅黑" w:hAnsi="微软雅黑" w:eastAsia="微软雅黑" w:cs="微软雅黑"/>
                <w:b/>
                <w:color w:val="FFFFFF"/>
                <w:sz w:val="18"/>
              </w:rPr>
              <w:t>输入源</w:t>
            </w:r>
          </w:p>
        </w:tc>
        <w:tc>
          <w:tcPr>
            <w:tcW w:w="2464" w:type="dxa"/>
            <w:shd w:val="clear" w:color="auto" w:fill="2F5597"/>
            <w:vAlign w:val="center"/>
          </w:tcPr>
          <w:p>
            <w:pPr>
              <w:keepNext/>
              <w:jc w:val="center"/>
              <w:rPr>
                <w:rFonts w:hint="eastAsia" w:ascii="微软雅黑" w:hAnsi="微软雅黑" w:eastAsia="微软雅黑" w:cs="微软雅黑"/>
              </w:rPr>
            </w:pPr>
            <w:r>
              <w:rPr>
                <w:rFonts w:hint="eastAsia" w:ascii="微软雅黑" w:hAnsi="微软雅黑" w:eastAsia="微软雅黑" w:cs="微软雅黑"/>
                <w:b/>
                <w:color w:val="FFFFFF"/>
                <w:sz w:val="18"/>
              </w:rPr>
              <w:t>3.6接口</w:t>
            </w:r>
          </w:p>
        </w:tc>
        <w:tc>
          <w:tcPr>
            <w:tcW w:w="2464" w:type="dxa"/>
            <w:shd w:val="clear" w:color="auto" w:fill="2F5597"/>
            <w:vAlign w:val="center"/>
          </w:tcPr>
          <w:p>
            <w:pPr>
              <w:keepNext/>
              <w:jc w:val="center"/>
              <w:rPr>
                <w:rFonts w:hint="eastAsia" w:ascii="微软雅黑" w:hAnsi="微软雅黑" w:eastAsia="微软雅黑" w:cs="微软雅黑"/>
              </w:rPr>
            </w:pPr>
            <w:r>
              <w:rPr>
                <w:rFonts w:hint="eastAsia" w:ascii="微软雅黑" w:hAnsi="微软雅黑" w:eastAsia="微软雅黑" w:cs="微软雅黑"/>
                <w:b/>
                <w:color w:val="FFFFFF"/>
                <w:sz w:val="18"/>
              </w:rPr>
              <w:t>目的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2464" w:type="dxa"/>
            <w:shd w:val="clear" w:color="auto" w:fill="FFFFFF"/>
            <w:vAlign w:val="center"/>
          </w:tcPr>
          <w:p>
            <w:pPr>
              <w:jc w:val="center"/>
              <w:rPr>
                <w:rFonts w:hint="eastAsia" w:ascii="微软雅黑" w:hAnsi="微软雅黑" w:eastAsia="微软雅黑" w:cs="微软雅黑"/>
              </w:rPr>
            </w:pPr>
            <w:r>
              <w:rPr>
                <w:rFonts w:hint="eastAsia" w:ascii="微软雅黑" w:hAnsi="微软雅黑" w:eastAsia="微软雅黑" w:cs="微软雅黑"/>
                <w:b w:val="0"/>
                <w:color w:val="000000"/>
                <w:sz w:val="18"/>
              </w:rPr>
              <w:t>开发早期</w:t>
            </w:r>
          </w:p>
        </w:tc>
        <w:tc>
          <w:tcPr>
            <w:tcW w:w="2464" w:type="dxa"/>
            <w:shd w:val="clear" w:color="auto" w:fill="FFFFFF"/>
            <w:vAlign w:val="center"/>
          </w:tcPr>
          <w:p>
            <w:pPr>
              <w:jc w:val="left"/>
              <w:rPr>
                <w:rFonts w:hint="eastAsia" w:ascii="微软雅黑" w:hAnsi="微软雅黑" w:eastAsia="微软雅黑" w:cs="微软雅黑"/>
              </w:rPr>
            </w:pPr>
            <w:r>
              <w:rPr>
                <w:rFonts w:hint="eastAsia" w:ascii="微软雅黑" w:hAnsi="微软雅黑" w:eastAsia="微软雅黑" w:cs="微软雅黑"/>
                <w:b w:val="0"/>
                <w:color w:val="000000"/>
                <w:sz w:val="18"/>
              </w:rPr>
              <w:t>虚拟 CAN / UDP 模拟器</w:t>
            </w:r>
          </w:p>
        </w:tc>
        <w:tc>
          <w:tcPr>
            <w:tcW w:w="2464" w:type="dxa"/>
            <w:shd w:val="clear" w:color="auto" w:fill="FFFFFF"/>
            <w:vAlign w:val="center"/>
          </w:tcPr>
          <w:p>
            <w:pPr>
              <w:spacing w:before="0" w:after="40" w:line="269" w:lineRule="auto"/>
            </w:pPr>
            <w:r>
              <w:rPr>
                <w:color w:val="000000"/>
                <w:sz w:val="19"/>
              </w:rPr>
              <w:t>统一标准接口；冻结映射</w:t>
            </w:r>
          </w:p>
        </w:tc>
        <w:tc>
          <w:tcPr>
            <w:tcW w:w="2464" w:type="dxa"/>
            <w:shd w:val="clear" w:color="auto" w:fill="FFFFFF"/>
            <w:vAlign w:val="center"/>
          </w:tcPr>
          <w:p>
            <w:pPr>
              <w:jc w:val="left"/>
              <w:rPr>
                <w:rFonts w:hint="eastAsia" w:ascii="微软雅黑" w:hAnsi="微软雅黑" w:eastAsia="微软雅黑" w:cs="微软雅黑"/>
              </w:rPr>
            </w:pPr>
            <w:r>
              <w:rPr>
                <w:rFonts w:hint="eastAsia" w:ascii="微软雅黑" w:hAnsi="微软雅黑" w:eastAsia="微软雅黑" w:cs="微软雅黑"/>
                <w:b w:val="0"/>
                <w:color w:val="000000"/>
                <w:sz w:val="18"/>
              </w:rPr>
              <w:t>验证解析、状态机和异常处理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2464" w:type="dxa"/>
            <w:shd w:val="clear" w:color="auto" w:fill="F7F9FC"/>
            <w:vAlign w:val="center"/>
          </w:tcPr>
          <w:p>
            <w:pPr>
              <w:jc w:val="center"/>
              <w:rPr>
                <w:rFonts w:hint="eastAsia" w:ascii="微软雅黑" w:hAnsi="微软雅黑" w:eastAsia="微软雅黑" w:cs="微软雅黑"/>
              </w:rPr>
            </w:pPr>
            <w:r>
              <w:rPr>
                <w:rFonts w:hint="eastAsia" w:ascii="微软雅黑" w:hAnsi="微软雅黑" w:eastAsia="微软雅黑" w:cs="微软雅黑"/>
                <w:b w:val="0"/>
                <w:color w:val="000000"/>
                <w:sz w:val="18"/>
              </w:rPr>
              <w:t>联调中期</w:t>
            </w:r>
          </w:p>
        </w:tc>
        <w:tc>
          <w:tcPr>
            <w:tcW w:w="2464" w:type="dxa"/>
            <w:shd w:val="clear" w:color="auto" w:fill="F7F9FC"/>
            <w:vAlign w:val="center"/>
          </w:tcPr>
          <w:p>
            <w:pPr>
              <w:jc w:val="left"/>
              <w:rPr>
                <w:rFonts w:hint="eastAsia" w:ascii="微软雅黑" w:hAnsi="微软雅黑" w:eastAsia="微软雅黑" w:cs="微软雅黑"/>
              </w:rPr>
            </w:pPr>
            <w:r>
              <w:rPr>
                <w:rFonts w:hint="eastAsia" w:ascii="微软雅黑" w:hAnsi="微软雅黑" w:eastAsia="微软雅黑" w:cs="微软雅黑"/>
                <w:b w:val="0"/>
                <w:color w:val="000000"/>
                <w:sz w:val="18"/>
              </w:rPr>
              <w:t>报文回放 + 场景脚本</w:t>
            </w:r>
          </w:p>
        </w:tc>
        <w:tc>
          <w:tcPr>
            <w:tcW w:w="2464" w:type="dxa"/>
            <w:shd w:val="clear" w:color="auto" w:fill="F7F9FC"/>
            <w:vAlign w:val="center"/>
          </w:tcPr>
          <w:p>
            <w:pPr>
              <w:spacing w:before="0" w:after="40" w:line="269" w:lineRule="auto"/>
            </w:pPr>
            <w:r>
              <w:rPr>
                <w:color w:val="000000"/>
                <w:sz w:val="19"/>
              </w:rPr>
              <w:t>统一标准接口；冻结映射</w:t>
            </w:r>
          </w:p>
        </w:tc>
        <w:tc>
          <w:tcPr>
            <w:tcW w:w="2464" w:type="dxa"/>
            <w:shd w:val="clear" w:color="auto" w:fill="F7F9FC"/>
            <w:vAlign w:val="center"/>
          </w:tcPr>
          <w:p>
            <w:pPr>
              <w:jc w:val="left"/>
              <w:rPr>
                <w:rFonts w:hint="eastAsia" w:ascii="微软雅黑" w:hAnsi="微软雅黑" w:eastAsia="微软雅黑" w:cs="微软雅黑"/>
              </w:rPr>
            </w:pPr>
            <w:r>
              <w:rPr>
                <w:rFonts w:hint="eastAsia" w:ascii="微软雅黑" w:hAnsi="微软雅黑" w:eastAsia="微软雅黑" w:cs="微软雅黑"/>
                <w:b w:val="0"/>
                <w:color w:val="000000"/>
                <w:sz w:val="18"/>
              </w:rPr>
              <w:t>验证时序、边界和故障工况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2464" w:type="dxa"/>
            <w:shd w:val="clear" w:color="auto" w:fill="FFFFFF"/>
            <w:vAlign w:val="center"/>
          </w:tcPr>
          <w:p>
            <w:pPr>
              <w:jc w:val="center"/>
              <w:rPr>
                <w:rFonts w:hint="eastAsia" w:ascii="微软雅黑" w:hAnsi="微软雅黑" w:eastAsia="微软雅黑" w:cs="微软雅黑"/>
              </w:rPr>
            </w:pPr>
            <w:r>
              <w:rPr>
                <w:rFonts w:hint="eastAsia" w:ascii="微软雅黑" w:hAnsi="微软雅黑" w:eastAsia="微软雅黑" w:cs="微软雅黑"/>
                <w:b w:val="0"/>
                <w:color w:val="000000"/>
                <w:sz w:val="18"/>
              </w:rPr>
              <w:t>硬件联调</w:t>
            </w:r>
          </w:p>
        </w:tc>
        <w:tc>
          <w:tcPr>
            <w:tcW w:w="2464" w:type="dxa"/>
            <w:shd w:val="clear" w:color="auto" w:fill="FFFFFF"/>
            <w:vAlign w:val="center"/>
          </w:tcPr>
          <w:p>
            <w:pPr>
              <w:jc w:val="left"/>
              <w:rPr>
                <w:rFonts w:hint="eastAsia" w:ascii="微软雅黑" w:hAnsi="微软雅黑" w:eastAsia="微软雅黑" w:cs="微软雅黑"/>
              </w:rPr>
            </w:pPr>
            <w:r>
              <w:rPr>
                <w:rFonts w:hint="eastAsia" w:ascii="微软雅黑" w:hAnsi="微软雅黑" w:eastAsia="微软雅黑" w:cs="微软雅黑"/>
                <w:b w:val="0"/>
                <w:color w:val="000000"/>
                <w:sz w:val="18"/>
              </w:rPr>
              <w:t>真实 CAN/CANFD/以太网接口</w:t>
            </w:r>
          </w:p>
        </w:tc>
        <w:tc>
          <w:tcPr>
            <w:tcW w:w="2464" w:type="dxa"/>
            <w:shd w:val="clear" w:color="auto" w:fill="FFFFFF"/>
            <w:vAlign w:val="center"/>
          </w:tcPr>
          <w:p>
            <w:pPr>
              <w:spacing w:before="0" w:after="40" w:line="269" w:lineRule="auto"/>
            </w:pPr>
            <w:r>
              <w:rPr>
                <w:color w:val="000000"/>
                <w:sz w:val="19"/>
              </w:rPr>
              <w:t>统一标准接口；冻结映射</w:t>
            </w:r>
          </w:p>
        </w:tc>
        <w:tc>
          <w:tcPr>
            <w:tcW w:w="2464" w:type="dxa"/>
            <w:shd w:val="clear" w:color="auto" w:fill="FFFFFF"/>
            <w:vAlign w:val="center"/>
          </w:tcPr>
          <w:p>
            <w:pPr>
              <w:jc w:val="left"/>
              <w:rPr>
                <w:rFonts w:hint="eastAsia" w:ascii="微软雅黑" w:hAnsi="微软雅黑" w:eastAsia="微软雅黑" w:cs="微软雅黑"/>
              </w:rPr>
            </w:pPr>
            <w:r>
              <w:rPr>
                <w:rFonts w:hint="eastAsia" w:ascii="微软雅黑" w:hAnsi="微软雅黑" w:eastAsia="微软雅黑" w:cs="微软雅黑"/>
                <w:b w:val="0"/>
                <w:color w:val="000000"/>
                <w:sz w:val="18"/>
              </w:rPr>
              <w:t>验证物理链路和实时性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2464" w:type="dxa"/>
            <w:shd w:val="clear" w:color="auto" w:fill="F7F9FC"/>
            <w:vAlign w:val="center"/>
          </w:tcPr>
          <w:p>
            <w:pPr>
              <w:jc w:val="center"/>
              <w:rPr>
                <w:rFonts w:hint="eastAsia" w:ascii="微软雅黑" w:hAnsi="微软雅黑" w:eastAsia="微软雅黑" w:cs="微软雅黑"/>
              </w:rPr>
            </w:pPr>
            <w:r>
              <w:rPr>
                <w:rFonts w:hint="eastAsia" w:ascii="微软雅黑" w:hAnsi="微软雅黑" w:eastAsia="微软雅黑" w:cs="微软雅黑"/>
                <w:b w:val="0"/>
                <w:color w:val="000000"/>
                <w:sz w:val="18"/>
              </w:rPr>
              <w:t>系统集成</w:t>
            </w:r>
          </w:p>
        </w:tc>
        <w:tc>
          <w:tcPr>
            <w:tcW w:w="2464" w:type="dxa"/>
            <w:shd w:val="clear" w:color="auto" w:fill="F7F9FC"/>
            <w:vAlign w:val="center"/>
          </w:tcPr>
          <w:p>
            <w:pPr>
              <w:jc w:val="left"/>
              <w:rPr>
                <w:rFonts w:hint="eastAsia" w:ascii="微软雅黑" w:hAnsi="微软雅黑" w:eastAsia="微软雅黑" w:cs="微软雅黑"/>
              </w:rPr>
            </w:pPr>
            <w:r>
              <w:rPr>
                <w:rFonts w:hint="eastAsia" w:ascii="微软雅黑" w:hAnsi="微软雅黑" w:eastAsia="微软雅黑" w:cs="微软雅黑"/>
                <w:b w:val="0"/>
                <w:color w:val="000000"/>
                <w:sz w:val="18"/>
              </w:rPr>
              <w:t>真实 3.3 综合测试系统</w:t>
            </w:r>
          </w:p>
        </w:tc>
        <w:tc>
          <w:tcPr>
            <w:tcW w:w="2464" w:type="dxa"/>
            <w:shd w:val="clear" w:color="auto" w:fill="F7F9FC"/>
            <w:vAlign w:val="center"/>
          </w:tcPr>
          <w:p>
            <w:pPr>
              <w:spacing w:before="0" w:after="40" w:line="269" w:lineRule="auto"/>
            </w:pPr>
            <w:r>
              <w:rPr>
                <w:color w:val="000000"/>
                <w:sz w:val="19"/>
              </w:rPr>
              <w:t>统一标准接口；冻结映射</w:t>
            </w:r>
          </w:p>
        </w:tc>
        <w:tc>
          <w:tcPr>
            <w:tcW w:w="2464" w:type="dxa"/>
            <w:shd w:val="clear" w:color="auto" w:fill="F7F9FC"/>
            <w:vAlign w:val="center"/>
          </w:tcPr>
          <w:p>
            <w:pPr>
              <w:jc w:val="left"/>
              <w:rPr>
                <w:rFonts w:hint="eastAsia" w:ascii="微软雅黑" w:hAnsi="微软雅黑" w:eastAsia="微软雅黑" w:cs="微软雅黑"/>
              </w:rPr>
            </w:pPr>
            <w:r>
              <w:rPr>
                <w:rFonts w:hint="eastAsia" w:ascii="微软雅黑" w:hAnsi="微软雅黑" w:eastAsia="微软雅黑" w:cs="微软雅黑"/>
                <w:b w:val="0"/>
                <w:color w:val="000000"/>
                <w:sz w:val="18"/>
              </w:rPr>
              <w:t>完成一致性回归和最终联调</w:t>
            </w:r>
          </w:p>
        </w:tc>
      </w:tr>
    </w:tbl>
    <w:p>
      <w:pPr>
        <w:rPr>
          <w:rFonts w:hint="eastAsia" w:ascii="微软雅黑" w:hAnsi="微软雅黑" w:eastAsia="微软雅黑" w:cs="微软雅黑"/>
        </w:rPr>
      </w:pPr>
    </w:p>
    <w:p>
      <w:pPr>
        <w:pStyle w:val="4"/>
        <w:keepNext/>
        <w:rPr>
          <w:rFonts w:hint="eastAsia" w:ascii="微软雅黑" w:hAnsi="微软雅黑" w:eastAsia="微软雅黑" w:cs="微软雅黑"/>
        </w:rPr>
      </w:pPr>
      <w:r>
        <w:rPr>
          <w:rFonts w:hint="eastAsia" w:ascii="微软雅黑" w:hAnsi="微软雅黑" w:eastAsia="微软雅黑" w:cs="微软雅黑"/>
          <w:color w:val="000000"/>
        </w:rPr>
        <w:t>3.1 设计原则</w:t>
      </w:r>
    </w:p>
    <w:p>
      <w:pPr>
        <w:pStyle w:val="16"/>
        <w:widowControl/>
        <w:spacing w:after="60"/>
        <w:rPr>
          <w:rFonts w:hint="eastAsia" w:ascii="微软雅黑" w:hAnsi="微软雅黑" w:eastAsia="微软雅黑" w:cs="微软雅黑"/>
        </w:rPr>
      </w:pPr>
      <w:r>
        <w:t>接口先共同冻结：由3.3、模拟器和3.6负责人共同确认正式ICD、传输配置、覆盖清单及符合性测试；三方按同一基线开发，不能先做模拟专用协议再补转换器。</w:t>
      </w:r>
    </w:p>
    <w:p>
      <w:pPr>
        <w:pStyle w:val="16"/>
        <w:widowControl/>
        <w:spacing w:after="60"/>
        <w:rPr>
          <w:rFonts w:hint="eastAsia" w:ascii="微软雅黑" w:hAnsi="微软雅黑" w:eastAsia="微软雅黑" w:cs="微软雅黑"/>
        </w:rPr>
      </w:pPr>
      <w:r>
        <w:t>模拟器只替代发送源：3.6禁止模拟专用入口、私有字段、旁路注入和按mock/real身份分支；日志可区分来源，统一标准处理规则不得区分。</w:t>
      </w:r>
    </w:p>
    <w:p>
      <w:pPr>
        <w:pStyle w:val="16"/>
        <w:widowControl/>
        <w:spacing w:after="60"/>
        <w:rPr>
          <w:rFonts w:hint="eastAsia" w:ascii="微软雅黑" w:hAnsi="微软雅黑" w:eastAsia="微软雅黑" w:cs="微软雅黑"/>
        </w:rPr>
      </w:pPr>
      <w:r>
        <w:t>逐级验证正式接口：先验证相同编码的虚拟接口，再进行回放和真实链路联调。正式传输、驱动及接入代码必须在真实3.3替换前开发并验证；临时UDP探索不等于正式CANFD/车载以太网替换验证。</w:t>
      </w:r>
    </w:p>
    <w:p>
      <w:pPr>
        <w:pStyle w:val="16"/>
        <w:widowControl/>
        <w:spacing w:after="60"/>
        <w:rPr>
          <w:rFonts w:hint="eastAsia" w:ascii="微软雅黑" w:hAnsi="微软雅黑" w:eastAsia="微软雅黑" w:cs="微软雅黑"/>
        </w:rPr>
      </w:pPr>
      <w:r>
        <w:rPr>
          <w:rFonts w:hint="eastAsia" w:ascii="微软雅黑" w:hAnsi="微软雅黑" w:eastAsia="微软雅黑" w:cs="微软雅黑"/>
        </w:rPr>
        <w:t>正常、边界、故障和通信异常场景均需可保存、可重放、可自动执行。</w:t>
      </w:r>
    </w:p>
    <w:p>
      <w:pPr>
        <w:pStyle w:val="16"/>
        <w:widowControl/>
        <w:spacing w:after="60"/>
        <w:rPr>
          <w:rFonts w:hint="eastAsia" w:ascii="微软雅黑" w:hAnsi="微软雅黑" w:eastAsia="微软雅黑" w:cs="微软雅黑"/>
        </w:rPr>
      </w:pPr>
      <w:r>
        <w:rPr>
          <w:rFonts w:hint="eastAsia" w:ascii="微软雅黑" w:hAnsi="微软雅黑" w:eastAsia="微软雅黑" w:cs="微软雅黑"/>
        </w:rPr>
        <w:t>每次发送的数据、时间戳、场景版本、3.6 输出和异常日志均需可追溯。</w:t>
      </w:r>
    </w:p>
    <w:p>
      <w:pPr>
        <w:pStyle w:val="4"/>
        <w:keepNext/>
      </w:pPr>
      <w:r>
        <w:rPr>
          <w:color w:val="000000"/>
        </w:rPr>
        <w:t>3.2 双向架构与职责</w:t>
      </w:r>
    </w:p>
    <w:p>
      <w:pPr>
        <w:widowControl/>
      </w:pPr>
      <w:r>
        <w:t>输入链：场景调度器按冻结ICD调用编解码器，经选定正式传输送达3.6标准接入服务；同一服务按版本、身份权限、时序和业务范围校验并映射到HIL声明接口。真实3.3使用同一入口和处理路径。输出链：回执、应用事件、模型状态和告警按同一反馈ICD返回，不设置模拟专用反馈格式。</w:t>
      </w:r>
    </w:p>
    <w:p>
      <w:pPr>
        <w:widowControl/>
      </w:pPr>
      <w:r>
        <w:t>目标侧接入服务为3.6的正式接口模块，不是替换时新增的临时转换器。外部ICD到内部HIL接口的映射和正式驱动应提前实现、测试并冻结。禁止将文档示例直接发送到C核心既有端口；接收和记录在实时线程之外执行，命令以有限缓冲提交到模型步边界。</w:t>
      </w:r>
    </w:p>
    <w:p>
      <w:pPr>
        <w:pStyle w:val="4"/>
        <w:keepNext/>
      </w:pPr>
      <w:r>
        <w:rPr>
          <w:color w:val="000000"/>
        </w:rPr>
        <w:t>3.3 控制权与安全状态</w:t>
      </w:r>
    </w:p>
    <w:p>
      <w:pPr>
        <w:widowControl/>
      </w:pPr>
      <w:r>
        <w:t>任务目标、模型输入和执行器输入分别声明写入权限。虚拟与实体飞控仅允许一个持有执行器控制权。模拟器与真实3.3以相同逻辑角色接入，按同一会话租约和授权规则互斥选源；不同凭据只标识设备身份，不能产生不同业务权限语义。直接flight_control与执行器命令不得同时写同一模型通道。</w:t>
      </w:r>
    </w:p>
    <w:p>
      <w:pPr>
        <w:widowControl/>
      </w:pPr>
      <w:r>
        <w:t>源切换、协议不兼容、帧陈旧和通信断开时，按通道安全策略处理：执行器进入契约安全值，环境输入按已确认的保持/复位规则处理，任务指令停止推进并告警。安全值、保持时间和超时阈值不得由模拟器根据字段名猜测。</w:t>
      </w:r>
    </w:p>
    <w:p>
      <w:pPr>
        <w:pStyle w:val="3"/>
        <w:keepNext/>
        <w:rPr>
          <w:rFonts w:hint="eastAsia" w:ascii="微软雅黑" w:hAnsi="微软雅黑" w:eastAsia="微软雅黑" w:cs="微软雅黑"/>
        </w:rPr>
      </w:pPr>
      <w:r>
        <w:rPr>
          <w:rFonts w:hint="eastAsia" w:ascii="微软雅黑" w:hAnsi="微软雅黑" w:eastAsia="微软雅黑" w:cs="微软雅黑"/>
          <w:color w:val="000000"/>
        </w:rPr>
        <w:t>4. 3.3↔3.6 接口契约设计</w:t>
      </w:r>
    </w:p>
    <w:p>
      <w:pPr>
        <w:widowControl/>
        <w:rPr>
          <w:rFonts w:hint="eastAsia" w:ascii="微软雅黑" w:hAnsi="微软雅黑" w:eastAsia="微软雅黑" w:cs="微软雅黑"/>
        </w:rPr>
      </w:pPr>
      <w:r>
        <w:t>模拟器与真实3.3必须共同遵循同一正式ICD版本、DBC/schema及传输配置，并在正式接口开发前由各方共同签署冻结。覆盖正向输入、反向反馈和握手/运行/停止/恢复全生命周期。相同业务语义但不同线上编码不视为接口一致。</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86"/>
        <w:gridCol w:w="3286"/>
        <w:gridCol w:w="328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blHeader/>
          <w:cantSplit/>
        </w:trPr>
        <w:tc>
          <w:tcPr>
            <w:tcW w:w="3286" w:type="dxa"/>
            <w:shd w:val="clear" w:color="auto" w:fill="2F5597"/>
            <w:vAlign w:val="center"/>
          </w:tcPr>
          <w:p>
            <w:pPr>
              <w:keepNext/>
              <w:jc w:val="center"/>
              <w:rPr>
                <w:rFonts w:hint="eastAsia" w:ascii="微软雅黑" w:hAnsi="微软雅黑" w:eastAsia="微软雅黑" w:cs="微软雅黑"/>
              </w:rPr>
            </w:pPr>
            <w:r>
              <w:rPr>
                <w:rFonts w:hint="eastAsia" w:ascii="微软雅黑" w:hAnsi="微软雅黑" w:eastAsia="微软雅黑" w:cs="微软雅黑"/>
                <w:b/>
                <w:color w:val="FFFFFF"/>
                <w:sz w:val="18"/>
              </w:rPr>
              <w:t>接口项</w:t>
            </w:r>
          </w:p>
        </w:tc>
        <w:tc>
          <w:tcPr>
            <w:tcW w:w="3286" w:type="dxa"/>
            <w:shd w:val="clear" w:color="auto" w:fill="2F5597"/>
            <w:vAlign w:val="center"/>
          </w:tcPr>
          <w:p>
            <w:pPr>
              <w:keepNext/>
              <w:jc w:val="center"/>
              <w:rPr>
                <w:rFonts w:hint="eastAsia" w:ascii="微软雅黑" w:hAnsi="微软雅黑" w:eastAsia="微软雅黑" w:cs="微软雅黑"/>
              </w:rPr>
            </w:pPr>
            <w:r>
              <w:rPr>
                <w:rFonts w:hint="eastAsia" w:ascii="微软雅黑" w:hAnsi="微软雅黑" w:eastAsia="微软雅黑" w:cs="微软雅黑"/>
                <w:b/>
                <w:color w:val="FFFFFF"/>
                <w:sz w:val="18"/>
              </w:rPr>
              <w:t>需要明确的内容</w:t>
            </w:r>
          </w:p>
        </w:tc>
        <w:tc>
          <w:tcPr>
            <w:tcW w:w="3286" w:type="dxa"/>
            <w:shd w:val="clear" w:color="auto" w:fill="2F5597"/>
            <w:vAlign w:val="center"/>
          </w:tcPr>
          <w:p>
            <w:pPr>
              <w:keepNext/>
              <w:jc w:val="center"/>
              <w:rPr>
                <w:rFonts w:hint="eastAsia" w:ascii="微软雅黑" w:hAnsi="微软雅黑" w:eastAsia="微软雅黑" w:cs="微软雅黑"/>
              </w:rPr>
            </w:pPr>
            <w:r>
              <w:rPr>
                <w:rFonts w:hint="eastAsia" w:ascii="微软雅黑" w:hAnsi="微软雅黑" w:eastAsia="微软雅黑" w:cs="微软雅黑"/>
                <w:b/>
                <w:color w:val="FFFFFF"/>
                <w:sz w:val="18"/>
              </w:rPr>
              <w:t>示例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3286" w:type="dxa"/>
            <w:shd w:val="clear" w:color="auto" w:fill="FFFFFF"/>
            <w:vAlign w:val="center"/>
          </w:tcPr>
          <w:p>
            <w:pPr>
              <w:jc w:val="center"/>
              <w:rPr>
                <w:rFonts w:hint="eastAsia" w:ascii="微软雅黑" w:hAnsi="微软雅黑" w:eastAsia="微软雅黑" w:cs="微软雅黑"/>
              </w:rPr>
            </w:pPr>
            <w:r>
              <w:rPr>
                <w:rFonts w:hint="eastAsia" w:ascii="微软雅黑" w:hAnsi="微软雅黑" w:eastAsia="微软雅黑" w:cs="微软雅黑"/>
                <w:b w:val="0"/>
                <w:color w:val="000000"/>
                <w:sz w:val="18"/>
              </w:rPr>
              <w:t>通信方式</w:t>
            </w:r>
          </w:p>
        </w:tc>
        <w:tc>
          <w:tcPr>
            <w:tcW w:w="3286" w:type="dxa"/>
            <w:shd w:val="clear" w:color="auto" w:fill="FFFFFF"/>
            <w:vAlign w:val="center"/>
          </w:tcPr>
          <w:p>
            <w:pPr>
              <w:jc w:val="left"/>
              <w:rPr>
                <w:rFonts w:hint="eastAsia" w:ascii="微软雅黑" w:hAnsi="微软雅黑" w:eastAsia="微软雅黑" w:cs="微软雅黑"/>
              </w:rPr>
            </w:pPr>
            <w:r>
              <w:rPr>
                <w:rFonts w:hint="eastAsia" w:ascii="微软雅黑" w:hAnsi="微软雅黑" w:eastAsia="微软雅黑" w:cs="微软雅黑"/>
                <w:b w:val="0"/>
                <w:color w:val="000000"/>
                <w:sz w:val="18"/>
              </w:rPr>
              <w:t>CAN / CANFD / UDP / TCP / 车载以太网</w:t>
            </w:r>
          </w:p>
        </w:tc>
        <w:tc>
          <w:tcPr>
            <w:tcW w:w="3286" w:type="dxa"/>
            <w:shd w:val="clear" w:color="auto" w:fill="FFFFFF"/>
            <w:vAlign w:val="center"/>
          </w:tcPr>
          <w:p>
            <w:pPr>
              <w:jc w:val="left"/>
              <w:rPr>
                <w:rFonts w:hint="eastAsia" w:ascii="微软雅黑" w:hAnsi="微软雅黑" w:eastAsia="微软雅黑" w:cs="微软雅黑"/>
              </w:rPr>
            </w:pPr>
            <w:r>
              <w:rPr>
                <w:rFonts w:hint="eastAsia" w:ascii="微软雅黑" w:hAnsi="微软雅黑" w:eastAsia="微软雅黑" w:cs="微软雅黑"/>
                <w:b w:val="0"/>
                <w:color w:val="000000"/>
                <w:sz w:val="18"/>
              </w:rPr>
              <w:t>CANFD + UDP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3286" w:type="dxa"/>
            <w:shd w:val="clear" w:color="auto" w:fill="F7F9FC"/>
            <w:vAlign w:val="center"/>
          </w:tcPr>
          <w:p>
            <w:pPr>
              <w:jc w:val="center"/>
              <w:rPr>
                <w:rFonts w:hint="eastAsia" w:ascii="微软雅黑" w:hAnsi="微软雅黑" w:eastAsia="微软雅黑" w:cs="微软雅黑"/>
              </w:rPr>
            </w:pPr>
            <w:r>
              <w:rPr>
                <w:rFonts w:hint="eastAsia" w:ascii="微软雅黑" w:hAnsi="微软雅黑" w:eastAsia="微软雅黑" w:cs="微软雅黑"/>
                <w:b w:val="0"/>
                <w:color w:val="000000"/>
                <w:sz w:val="18"/>
              </w:rPr>
              <w:t>消息标识</w:t>
            </w:r>
          </w:p>
        </w:tc>
        <w:tc>
          <w:tcPr>
            <w:tcW w:w="3286" w:type="dxa"/>
            <w:shd w:val="clear" w:color="auto" w:fill="F7F9FC"/>
            <w:vAlign w:val="center"/>
          </w:tcPr>
          <w:p>
            <w:pPr>
              <w:jc w:val="left"/>
              <w:rPr>
                <w:rFonts w:hint="eastAsia" w:ascii="微软雅黑" w:hAnsi="微软雅黑" w:eastAsia="微软雅黑" w:cs="微软雅黑"/>
              </w:rPr>
            </w:pPr>
            <w:r>
              <w:rPr>
                <w:rFonts w:hint="eastAsia" w:ascii="微软雅黑" w:hAnsi="微软雅黑" w:eastAsia="微软雅黑" w:cs="微软雅黑"/>
                <w:b w:val="0"/>
                <w:color w:val="000000"/>
                <w:sz w:val="18"/>
              </w:rPr>
              <w:t>CAN ID、消息类型、UDP端口</w:t>
            </w:r>
          </w:p>
        </w:tc>
        <w:tc>
          <w:tcPr>
            <w:tcW w:w="3286" w:type="dxa"/>
            <w:shd w:val="clear" w:color="auto" w:fill="F7F9FC"/>
            <w:vAlign w:val="center"/>
          </w:tcPr>
          <w:p>
            <w:pPr>
              <w:jc w:val="left"/>
              <w:rPr>
                <w:rFonts w:hint="eastAsia" w:ascii="微软雅黑" w:hAnsi="微软雅黑" w:eastAsia="微软雅黑" w:cs="微软雅黑"/>
              </w:rPr>
            </w:pPr>
            <w:r>
              <w:rPr>
                <w:rFonts w:hint="eastAsia" w:ascii="微软雅黑" w:hAnsi="微软雅黑" w:eastAsia="微软雅黑" w:cs="微软雅黑"/>
                <w:b w:val="0"/>
                <w:color w:val="000000"/>
                <w:sz w:val="18"/>
              </w:rPr>
              <w:t>0x301 / 6001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3286" w:type="dxa"/>
            <w:shd w:val="clear" w:color="auto" w:fill="FFFFFF"/>
            <w:vAlign w:val="center"/>
          </w:tcPr>
          <w:p>
            <w:pPr>
              <w:jc w:val="center"/>
              <w:rPr>
                <w:rFonts w:hint="eastAsia" w:ascii="微软雅黑" w:hAnsi="微软雅黑" w:eastAsia="微软雅黑" w:cs="微软雅黑"/>
              </w:rPr>
            </w:pPr>
            <w:r>
              <w:rPr>
                <w:rFonts w:hint="eastAsia" w:ascii="微软雅黑" w:hAnsi="微软雅黑" w:eastAsia="微软雅黑" w:cs="微软雅黑"/>
                <w:b w:val="0"/>
                <w:color w:val="000000"/>
                <w:sz w:val="18"/>
              </w:rPr>
              <w:t>字段定义</w:t>
            </w:r>
          </w:p>
        </w:tc>
        <w:tc>
          <w:tcPr>
            <w:tcW w:w="3286" w:type="dxa"/>
            <w:shd w:val="clear" w:color="auto" w:fill="FFFFFF"/>
            <w:vAlign w:val="center"/>
          </w:tcPr>
          <w:p>
            <w:pPr>
              <w:jc w:val="left"/>
              <w:rPr>
                <w:rFonts w:hint="eastAsia" w:ascii="微软雅黑" w:hAnsi="微软雅黑" w:eastAsia="微软雅黑" w:cs="微软雅黑"/>
              </w:rPr>
            </w:pPr>
            <w:r>
              <w:rPr>
                <w:rFonts w:hint="eastAsia" w:ascii="微软雅黑" w:hAnsi="微软雅黑" w:eastAsia="微软雅黑" w:cs="微软雅黑"/>
                <w:b w:val="0"/>
                <w:color w:val="000000"/>
                <w:sz w:val="18"/>
              </w:rPr>
              <w:t>名称、类型、长度、缩放</w:t>
            </w:r>
          </w:p>
        </w:tc>
        <w:tc>
          <w:tcPr>
            <w:tcW w:w="3286" w:type="dxa"/>
            <w:shd w:val="clear" w:color="auto" w:fill="FFFFFF"/>
            <w:vAlign w:val="center"/>
          </w:tcPr>
          <w:p>
            <w:pPr>
              <w:jc w:val="left"/>
              <w:rPr>
                <w:rFonts w:hint="eastAsia" w:ascii="微软雅黑" w:hAnsi="微软雅黑" w:eastAsia="微软雅黑" w:cs="微软雅黑"/>
              </w:rPr>
            </w:pPr>
            <w:r>
              <w:rPr>
                <w:rFonts w:hint="eastAsia" w:ascii="微软雅黑" w:hAnsi="微软雅黑" w:eastAsia="微软雅黑" w:cs="微软雅黑"/>
                <w:b w:val="0"/>
                <w:color w:val="000000"/>
                <w:sz w:val="18"/>
              </w:rPr>
              <w:t>target_altitude:uint16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3286" w:type="dxa"/>
            <w:shd w:val="clear" w:color="auto" w:fill="F7F9FC"/>
            <w:vAlign w:val="center"/>
          </w:tcPr>
          <w:p>
            <w:pPr>
              <w:jc w:val="center"/>
              <w:rPr>
                <w:rFonts w:hint="eastAsia" w:ascii="微软雅黑" w:hAnsi="微软雅黑" w:eastAsia="微软雅黑" w:cs="微软雅黑"/>
              </w:rPr>
            </w:pPr>
            <w:r>
              <w:rPr>
                <w:rFonts w:hint="eastAsia" w:ascii="微软雅黑" w:hAnsi="微软雅黑" w:eastAsia="微软雅黑" w:cs="微软雅黑"/>
                <w:b w:val="0"/>
                <w:color w:val="000000"/>
                <w:sz w:val="18"/>
              </w:rPr>
              <w:t>单位</w:t>
            </w:r>
          </w:p>
        </w:tc>
        <w:tc>
          <w:tcPr>
            <w:tcW w:w="3286" w:type="dxa"/>
            <w:shd w:val="clear" w:color="auto" w:fill="F7F9FC"/>
            <w:vAlign w:val="center"/>
          </w:tcPr>
          <w:p>
            <w:pPr>
              <w:jc w:val="left"/>
              <w:rPr>
                <w:rFonts w:hint="eastAsia" w:ascii="微软雅黑" w:hAnsi="微软雅黑" w:eastAsia="微软雅黑" w:cs="微软雅黑"/>
              </w:rPr>
            </w:pPr>
            <w:r>
              <w:rPr>
                <w:rFonts w:hint="eastAsia" w:ascii="微软雅黑" w:hAnsi="微软雅黑" w:eastAsia="微软雅黑" w:cs="微软雅黑"/>
                <w:b w:val="0"/>
                <w:color w:val="000000"/>
                <w:sz w:val="18"/>
              </w:rPr>
              <w:t>m、m/s、deg、rad、V</w:t>
            </w:r>
          </w:p>
        </w:tc>
        <w:tc>
          <w:tcPr>
            <w:tcW w:w="3286" w:type="dxa"/>
            <w:shd w:val="clear" w:color="auto" w:fill="F7F9FC"/>
            <w:vAlign w:val="center"/>
          </w:tcPr>
          <w:p>
            <w:pPr>
              <w:jc w:val="left"/>
              <w:rPr>
                <w:rFonts w:hint="eastAsia" w:ascii="微软雅黑" w:hAnsi="微软雅黑" w:eastAsia="微软雅黑" w:cs="微软雅黑"/>
              </w:rPr>
            </w:pPr>
            <w:r>
              <w:rPr>
                <w:rFonts w:hint="eastAsia" w:ascii="微软雅黑" w:hAnsi="微软雅黑" w:eastAsia="微软雅黑" w:cs="微软雅黑"/>
                <w:b w:val="0"/>
                <w:color w:val="000000"/>
                <w:sz w:val="18"/>
              </w:rPr>
              <w:t>altitude:m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3286" w:type="dxa"/>
            <w:shd w:val="clear" w:color="auto" w:fill="FFFFFF"/>
            <w:vAlign w:val="center"/>
          </w:tcPr>
          <w:p>
            <w:pPr>
              <w:jc w:val="center"/>
              <w:rPr>
                <w:rFonts w:hint="eastAsia" w:ascii="微软雅黑" w:hAnsi="微软雅黑" w:eastAsia="微软雅黑" w:cs="微软雅黑"/>
              </w:rPr>
            </w:pPr>
            <w:r>
              <w:rPr>
                <w:rFonts w:hint="eastAsia" w:ascii="微软雅黑" w:hAnsi="微软雅黑" w:eastAsia="微软雅黑" w:cs="微软雅黑"/>
                <w:b w:val="0"/>
                <w:color w:val="000000"/>
                <w:sz w:val="18"/>
              </w:rPr>
              <w:t>发送周期</w:t>
            </w:r>
          </w:p>
        </w:tc>
        <w:tc>
          <w:tcPr>
            <w:tcW w:w="3286" w:type="dxa"/>
            <w:shd w:val="clear" w:color="auto" w:fill="FFFFFF"/>
            <w:vAlign w:val="center"/>
          </w:tcPr>
          <w:p>
            <w:pPr>
              <w:jc w:val="left"/>
              <w:rPr>
                <w:rFonts w:hint="eastAsia" w:ascii="微软雅黑" w:hAnsi="微软雅黑" w:eastAsia="微软雅黑" w:cs="微软雅黑"/>
              </w:rPr>
            </w:pPr>
            <w:r>
              <w:rPr>
                <w:rFonts w:hint="eastAsia" w:ascii="微软雅黑" w:hAnsi="微软雅黑" w:eastAsia="微软雅黑" w:cs="微软雅黑"/>
                <w:b w:val="0"/>
                <w:color w:val="000000"/>
                <w:sz w:val="18"/>
              </w:rPr>
              <w:t>1/10/20/100 ms</w:t>
            </w:r>
          </w:p>
        </w:tc>
        <w:tc>
          <w:tcPr>
            <w:tcW w:w="3286" w:type="dxa"/>
            <w:shd w:val="clear" w:color="auto" w:fill="FFFFFF"/>
            <w:vAlign w:val="center"/>
          </w:tcPr>
          <w:p>
            <w:pPr>
              <w:jc w:val="left"/>
              <w:rPr>
                <w:rFonts w:hint="eastAsia" w:ascii="微软雅黑" w:hAnsi="微软雅黑" w:eastAsia="微软雅黑" w:cs="微软雅黑"/>
              </w:rPr>
            </w:pPr>
            <w:r>
              <w:rPr>
                <w:rFonts w:hint="eastAsia" w:ascii="微软雅黑" w:hAnsi="微软雅黑" w:eastAsia="微软雅黑" w:cs="微软雅黑"/>
                <w:b w:val="0"/>
                <w:color w:val="000000"/>
                <w:sz w:val="18"/>
              </w:rPr>
              <w:t>20 ms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3286" w:type="dxa"/>
            <w:shd w:val="clear" w:color="auto" w:fill="F7F9FC"/>
            <w:vAlign w:val="center"/>
          </w:tcPr>
          <w:p>
            <w:pPr>
              <w:jc w:val="center"/>
              <w:rPr>
                <w:rFonts w:hint="eastAsia" w:ascii="微软雅黑" w:hAnsi="微软雅黑" w:eastAsia="微软雅黑" w:cs="微软雅黑"/>
              </w:rPr>
            </w:pPr>
            <w:r>
              <w:rPr>
                <w:rFonts w:hint="eastAsia" w:ascii="微软雅黑" w:hAnsi="微软雅黑" w:eastAsia="微软雅黑" w:cs="微软雅黑"/>
                <w:b w:val="0"/>
                <w:color w:val="000000"/>
                <w:sz w:val="18"/>
              </w:rPr>
              <w:t>字节序</w:t>
            </w:r>
          </w:p>
        </w:tc>
        <w:tc>
          <w:tcPr>
            <w:tcW w:w="3286" w:type="dxa"/>
            <w:shd w:val="clear" w:color="auto" w:fill="F7F9FC"/>
            <w:vAlign w:val="center"/>
          </w:tcPr>
          <w:p>
            <w:pPr>
              <w:jc w:val="left"/>
              <w:rPr>
                <w:rFonts w:hint="eastAsia" w:ascii="微软雅黑" w:hAnsi="微软雅黑" w:eastAsia="微软雅黑" w:cs="微软雅黑"/>
              </w:rPr>
            </w:pPr>
            <w:r>
              <w:rPr>
                <w:rFonts w:hint="eastAsia" w:ascii="微软雅黑" w:hAnsi="微软雅黑" w:eastAsia="微软雅黑" w:cs="微软雅黑"/>
                <w:b w:val="0"/>
                <w:color w:val="000000"/>
                <w:sz w:val="18"/>
              </w:rPr>
              <w:t>Intel / Motorola</w:t>
            </w:r>
          </w:p>
        </w:tc>
        <w:tc>
          <w:tcPr>
            <w:tcW w:w="3286" w:type="dxa"/>
            <w:shd w:val="clear" w:color="auto" w:fill="F7F9FC"/>
            <w:vAlign w:val="center"/>
          </w:tcPr>
          <w:p>
            <w:pPr>
              <w:jc w:val="left"/>
              <w:rPr>
                <w:rFonts w:hint="eastAsia" w:ascii="微软雅黑" w:hAnsi="微软雅黑" w:eastAsia="微软雅黑" w:cs="微软雅黑"/>
              </w:rPr>
            </w:pPr>
            <w:r>
              <w:rPr>
                <w:rFonts w:hint="eastAsia" w:ascii="微软雅黑" w:hAnsi="微软雅黑" w:eastAsia="微软雅黑" w:cs="微软雅黑"/>
                <w:b w:val="0"/>
                <w:color w:val="000000"/>
                <w:sz w:val="18"/>
              </w:rPr>
              <w:t>Intel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3286" w:type="dxa"/>
            <w:shd w:val="clear" w:color="auto" w:fill="FFFFFF"/>
            <w:vAlign w:val="center"/>
          </w:tcPr>
          <w:p>
            <w:pPr>
              <w:jc w:val="center"/>
              <w:rPr>
                <w:rFonts w:hint="eastAsia" w:ascii="微软雅黑" w:hAnsi="微软雅黑" w:eastAsia="微软雅黑" w:cs="微软雅黑"/>
              </w:rPr>
            </w:pPr>
            <w:r>
              <w:rPr>
                <w:rFonts w:hint="eastAsia" w:ascii="微软雅黑" w:hAnsi="微软雅黑" w:eastAsia="微软雅黑" w:cs="微软雅黑"/>
                <w:b w:val="0"/>
                <w:color w:val="000000"/>
                <w:sz w:val="18"/>
              </w:rPr>
              <w:t>时间信息</w:t>
            </w:r>
          </w:p>
        </w:tc>
        <w:tc>
          <w:tcPr>
            <w:tcW w:w="3286" w:type="dxa"/>
            <w:shd w:val="clear" w:color="auto" w:fill="FFFFFF"/>
            <w:vAlign w:val="center"/>
          </w:tcPr>
          <w:p>
            <w:pPr>
              <w:jc w:val="left"/>
              <w:rPr>
                <w:rFonts w:hint="eastAsia" w:ascii="微软雅黑" w:hAnsi="微软雅黑" w:eastAsia="微软雅黑" w:cs="微软雅黑"/>
              </w:rPr>
            </w:pPr>
            <w:r>
              <w:rPr>
                <w:rFonts w:hint="eastAsia" w:ascii="微软雅黑" w:hAnsi="微软雅黑" w:eastAsia="微软雅黑" w:cs="微软雅黑"/>
                <w:b w:val="0"/>
                <w:color w:val="000000"/>
                <w:sz w:val="18"/>
              </w:rPr>
              <w:t>时间戳、帧序号、同步机制</w:t>
            </w:r>
          </w:p>
        </w:tc>
        <w:tc>
          <w:tcPr>
            <w:tcW w:w="3286" w:type="dxa"/>
            <w:shd w:val="clear" w:color="auto" w:fill="FFFFFF"/>
            <w:vAlign w:val="center"/>
          </w:tcPr>
          <w:p>
            <w:pPr>
              <w:jc w:val="left"/>
              <w:rPr>
                <w:rFonts w:hint="eastAsia" w:ascii="微软雅黑" w:hAnsi="微软雅黑" w:eastAsia="微软雅黑" w:cs="微软雅黑"/>
              </w:rPr>
            </w:pPr>
            <w:r>
              <w:rPr>
                <w:rFonts w:hint="eastAsia" w:ascii="微软雅黑" w:hAnsi="微软雅黑" w:eastAsia="微软雅黑" w:cs="微软雅黑"/>
                <w:b w:val="0"/>
                <w:color w:val="000000"/>
                <w:sz w:val="18"/>
              </w:rPr>
              <w:t>timestamp+sequence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3286" w:type="dxa"/>
            <w:shd w:val="clear" w:color="auto" w:fill="F7F9FC"/>
            <w:vAlign w:val="center"/>
          </w:tcPr>
          <w:p>
            <w:pPr>
              <w:jc w:val="center"/>
              <w:rPr>
                <w:rFonts w:hint="eastAsia" w:ascii="微软雅黑" w:hAnsi="微软雅黑" w:eastAsia="微软雅黑" w:cs="微软雅黑"/>
              </w:rPr>
            </w:pPr>
            <w:r>
              <w:rPr>
                <w:rFonts w:hint="eastAsia" w:ascii="微软雅黑" w:hAnsi="微软雅黑" w:eastAsia="微软雅黑" w:cs="微软雅黑"/>
                <w:b w:val="0"/>
                <w:color w:val="000000"/>
                <w:sz w:val="18"/>
              </w:rPr>
              <w:t>有效性</w:t>
            </w:r>
          </w:p>
        </w:tc>
        <w:tc>
          <w:tcPr>
            <w:tcW w:w="3286" w:type="dxa"/>
            <w:shd w:val="clear" w:color="auto" w:fill="F7F9FC"/>
            <w:vAlign w:val="center"/>
          </w:tcPr>
          <w:p>
            <w:pPr>
              <w:jc w:val="left"/>
              <w:rPr>
                <w:rFonts w:hint="eastAsia" w:ascii="微软雅黑" w:hAnsi="微软雅黑" w:eastAsia="微软雅黑" w:cs="微软雅黑"/>
              </w:rPr>
            </w:pPr>
            <w:r>
              <w:rPr>
                <w:rFonts w:hint="eastAsia" w:ascii="微软雅黑" w:hAnsi="微软雅黑" w:eastAsia="微软雅黑" w:cs="微软雅黑"/>
                <w:b w:val="0"/>
                <w:color w:val="000000"/>
                <w:sz w:val="18"/>
              </w:rPr>
              <w:t>范围、默认值、有效位</w:t>
            </w:r>
          </w:p>
        </w:tc>
        <w:tc>
          <w:tcPr>
            <w:tcW w:w="3286" w:type="dxa"/>
            <w:shd w:val="clear" w:color="auto" w:fill="F7F9FC"/>
            <w:vAlign w:val="center"/>
          </w:tcPr>
          <w:p>
            <w:pPr>
              <w:jc w:val="left"/>
              <w:rPr>
                <w:rFonts w:hint="eastAsia" w:ascii="微软雅黑" w:hAnsi="微软雅黑" w:eastAsia="微软雅黑" w:cs="微软雅黑"/>
              </w:rPr>
            </w:pPr>
            <w:r>
              <w:rPr>
                <w:rFonts w:hint="eastAsia" w:ascii="微软雅黑" w:hAnsi="微软雅黑" w:eastAsia="微软雅黑" w:cs="微软雅黑"/>
                <w:b w:val="0"/>
                <w:color w:val="000000"/>
                <w:sz w:val="18"/>
              </w:rPr>
              <w:t>0~10000 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3286" w:type="dxa"/>
            <w:shd w:val="clear" w:color="auto" w:fill="FFFFFF"/>
            <w:vAlign w:val="center"/>
          </w:tcPr>
          <w:p>
            <w:pPr>
              <w:jc w:val="center"/>
              <w:rPr>
                <w:rFonts w:hint="eastAsia" w:ascii="微软雅黑" w:hAnsi="微软雅黑" w:eastAsia="微软雅黑" w:cs="微软雅黑"/>
              </w:rPr>
            </w:pPr>
            <w:r>
              <w:rPr>
                <w:rFonts w:hint="eastAsia" w:ascii="微软雅黑" w:hAnsi="微软雅黑" w:eastAsia="微软雅黑" w:cs="微软雅黑"/>
                <w:b w:val="0"/>
                <w:color w:val="000000"/>
                <w:sz w:val="18"/>
              </w:rPr>
              <w:t>校验</w:t>
            </w:r>
          </w:p>
        </w:tc>
        <w:tc>
          <w:tcPr>
            <w:tcW w:w="3286" w:type="dxa"/>
            <w:shd w:val="clear" w:color="auto" w:fill="FFFFFF"/>
            <w:vAlign w:val="center"/>
          </w:tcPr>
          <w:p>
            <w:pPr>
              <w:jc w:val="left"/>
              <w:rPr>
                <w:rFonts w:hint="eastAsia" w:ascii="微软雅黑" w:hAnsi="微软雅黑" w:eastAsia="微软雅黑" w:cs="微软雅黑"/>
              </w:rPr>
            </w:pPr>
            <w:r>
              <w:rPr>
                <w:rFonts w:hint="eastAsia" w:ascii="微软雅黑" w:hAnsi="微软雅黑" w:eastAsia="微软雅黑" w:cs="微软雅黑"/>
                <w:b w:val="0"/>
                <w:color w:val="000000"/>
                <w:sz w:val="18"/>
              </w:rPr>
              <w:t>CRC、校验和、长度</w:t>
            </w:r>
          </w:p>
        </w:tc>
        <w:tc>
          <w:tcPr>
            <w:tcW w:w="3286" w:type="dxa"/>
            <w:shd w:val="clear" w:color="auto" w:fill="FFFFFF"/>
            <w:vAlign w:val="center"/>
          </w:tcPr>
          <w:p>
            <w:pPr>
              <w:jc w:val="left"/>
              <w:rPr>
                <w:rFonts w:hint="eastAsia" w:ascii="微软雅黑" w:hAnsi="微软雅黑" w:eastAsia="微软雅黑" w:cs="微软雅黑"/>
              </w:rPr>
            </w:pPr>
            <w:r>
              <w:rPr>
                <w:rFonts w:hint="eastAsia" w:ascii="微软雅黑" w:hAnsi="微软雅黑" w:eastAsia="微软雅黑" w:cs="微软雅黑"/>
                <w:b w:val="0"/>
                <w:color w:val="000000"/>
                <w:sz w:val="18"/>
              </w:rPr>
              <w:t>CRC16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3286" w:type="dxa"/>
            <w:shd w:val="clear" w:color="auto" w:fill="F7F9FC"/>
            <w:vAlign w:val="center"/>
          </w:tcPr>
          <w:p>
            <w:pPr>
              <w:jc w:val="center"/>
              <w:rPr>
                <w:rFonts w:hint="eastAsia" w:ascii="微软雅黑" w:hAnsi="微软雅黑" w:eastAsia="微软雅黑" w:cs="微软雅黑"/>
              </w:rPr>
            </w:pPr>
            <w:r>
              <w:rPr>
                <w:rFonts w:hint="eastAsia" w:ascii="微软雅黑" w:hAnsi="微软雅黑" w:eastAsia="微软雅黑" w:cs="微软雅黑"/>
                <w:b w:val="0"/>
                <w:color w:val="000000"/>
                <w:sz w:val="18"/>
              </w:rPr>
              <w:t>异常规则</w:t>
            </w:r>
          </w:p>
        </w:tc>
        <w:tc>
          <w:tcPr>
            <w:tcW w:w="3286" w:type="dxa"/>
            <w:shd w:val="clear" w:color="auto" w:fill="F7F9FC"/>
            <w:vAlign w:val="center"/>
          </w:tcPr>
          <w:p>
            <w:pPr>
              <w:jc w:val="left"/>
              <w:rPr>
                <w:rFonts w:hint="eastAsia" w:ascii="微软雅黑" w:hAnsi="微软雅黑" w:eastAsia="微软雅黑" w:cs="微软雅黑"/>
              </w:rPr>
            </w:pPr>
            <w:r>
              <w:rPr>
                <w:rFonts w:hint="eastAsia" w:ascii="微软雅黑" w:hAnsi="微软雅黑" w:eastAsia="微软雅黑" w:cs="微软雅黑"/>
                <w:b w:val="0"/>
                <w:color w:val="000000"/>
                <w:sz w:val="18"/>
              </w:rPr>
              <w:t>超时、丢帧、重复、乱序、非法值</w:t>
            </w:r>
          </w:p>
        </w:tc>
        <w:tc>
          <w:tcPr>
            <w:tcW w:w="3286" w:type="dxa"/>
            <w:shd w:val="clear" w:color="auto" w:fill="F7F9FC"/>
            <w:vAlign w:val="center"/>
          </w:tcPr>
          <w:p>
            <w:pPr>
              <w:jc w:val="left"/>
              <w:rPr>
                <w:rFonts w:hint="eastAsia" w:ascii="微软雅黑" w:hAnsi="微软雅黑" w:eastAsia="微软雅黑" w:cs="微软雅黑"/>
              </w:rPr>
            </w:pPr>
            <w:r>
              <w:rPr>
                <w:rFonts w:hint="eastAsia" w:ascii="微软雅黑" w:hAnsi="微软雅黑" w:eastAsia="微软雅黑" w:cs="微软雅黑"/>
                <w:b w:val="0"/>
                <w:color w:val="000000"/>
                <w:sz w:val="18"/>
              </w:rPr>
              <w:t>超时100 ms</w:t>
            </w:r>
          </w:p>
        </w:tc>
      </w:tr>
    </w:tbl>
    <w:p>
      <w:pPr>
        <w:rPr>
          <w:rFonts w:hint="eastAsia" w:ascii="微软雅黑" w:hAnsi="微软雅黑" w:eastAsia="微软雅黑" w:cs="微软雅黑"/>
        </w:rPr>
      </w:pPr>
    </w:p>
    <w:p>
      <w:pPr>
        <w:pStyle w:val="4"/>
        <w:keepNext/>
        <w:rPr>
          <w:rFonts w:hint="eastAsia" w:ascii="微软雅黑" w:hAnsi="微软雅黑" w:eastAsia="微软雅黑" w:cs="微软雅黑"/>
        </w:rPr>
      </w:pPr>
      <w:r>
        <w:rPr>
          <w:rFonts w:hint="eastAsia" w:ascii="微软雅黑" w:hAnsi="微软雅黑" w:eastAsia="微软雅黑" w:cs="微软雅黑"/>
          <w:color w:val="000000"/>
        </w:rPr>
        <w:t>4.1 UDP 示例</w:t>
      </w:r>
    </w:p>
    <w:p>
      <w:pPr>
        <w:widowControl/>
        <w:rPr>
          <w:rFonts w:hint="eastAsia" w:ascii="微软雅黑" w:hAnsi="微软雅黑" w:eastAsia="微软雅黑" w:cs="微软雅黑"/>
        </w:rPr>
      </w:pPr>
      <w:r>
        <w:t>UDP开发示例暂命名FLIGHT_TEST_INPUT，端口6001、周期10 ms仅为建议。只有UDP被共同冻结为该消息的正式传输时，模拟器与真实3.3才能共用此入口；否则仅用于内部探索，不能作为正式替换依据。目标高度/速度/航向映射到已声明任务或飞控接口，不覆盖模型状态输出。</w:t>
      </w:r>
    </w:p>
    <w:p>
      <w:pPr>
        <w:pStyle w:val="4"/>
        <w:keepNext/>
        <w:rPr>
          <w:rFonts w:hint="eastAsia" w:ascii="微软雅黑" w:hAnsi="微软雅黑" w:eastAsia="微软雅黑" w:cs="微软雅黑"/>
        </w:rPr>
      </w:pPr>
      <w:r>
        <w:rPr>
          <w:rFonts w:hint="eastAsia" w:ascii="微软雅黑" w:hAnsi="微软雅黑" w:eastAsia="微软雅黑" w:cs="微软雅黑"/>
          <w:color w:val="000000"/>
        </w:rPr>
        <w:t>4.2 CAN/CANFD 示例</w:t>
      </w:r>
    </w:p>
    <w:p>
      <w:pPr>
        <w:widowControl/>
        <w:rPr>
          <w:rFonts w:hint="eastAsia" w:ascii="微软雅黑" w:hAnsi="微软雅黑" w:eastAsia="微软雅黑" w:cs="微软雅黑"/>
        </w:rPr>
      </w:pPr>
      <w:r>
        <w:t>CAN ID 0x301及其8字节布局仅为编码示例，不是冻结协议。正式DBC定义标准/扩展帧、位布局、字节序、缩放、偏移、单位、范围和无效码。计数器、应用校验、时间戳、会话与有效性仅按ICD规定实现，可使用配套状态帧或CANFD载荷；多帧一致性与重组仅在对应消息启用时验证。正式CANFD须确定仲裁速率、数据速率及BRS，不因工具便利而修改报文。</w:t>
      </w:r>
    </w:p>
    <w:p>
      <w:pPr>
        <w:pStyle w:val="4"/>
        <w:keepNext/>
      </w:pPr>
      <w:r>
        <w:rPr>
          <w:color w:val="000000"/>
        </w:rPr>
        <w:t>4.3 输入分类与当前HIL映射</w:t>
      </w:r>
    </w:p>
    <w:tbl>
      <w:tblPr>
        <w:tblW w:type="auto" w:w="0"/>
        <w:jc w:val="center"/>
        <w:tblLayout w:type="fixed"/>
        <w:tblLook w:firstColumn="1" w:firstRow="1" w:lastColumn="0" w:lastRow="0" w:noHBand="0" w:noVBand="1" w:val="04A0"/>
      </w:tblPr>
      <w:tblGrid>
        <w:gridCol w:w="1701"/>
        <w:gridCol w:w="4649"/>
        <w:gridCol w:w="3458"/>
      </w:tblGrid>
      <w:tr>
        <w:trPr>
          <w:tblHeader/>
          <w:cantSplit/>
        </w:trPr>
        <w:tc>
          <w:tcPr>
            <w:tcW w:type="dxa" w:w="1701"/>
            <w:vAlign w:val="center"/>
            <w:shd w:fill="DCE9F4"/>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spacing w:after="40" w:before="0" w:line="269" w:lineRule="auto"/>
            </w:pPr>
            <w:r>
              <w:rPr>
                <w:b/>
                <w:color w:val="000000"/>
                <w:sz w:val="19"/>
              </w:rPr>
              <w:t>输入类别</w:t>
            </w:r>
          </w:p>
        </w:tc>
        <w:tc>
          <w:tcPr>
            <w:tcW w:type="dxa" w:w="4649"/>
            <w:vAlign w:val="center"/>
            <w:shd w:fill="DCE9F4"/>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spacing w:after="40" w:before="0" w:line="269" w:lineRule="auto"/>
            </w:pPr>
            <w:r>
              <w:rPr>
                <w:b/>
                <w:color w:val="000000"/>
                <w:sz w:val="19"/>
              </w:rPr>
              <w:t>映射与限制</w:t>
            </w:r>
          </w:p>
        </w:tc>
        <w:tc>
          <w:tcPr>
            <w:tcW w:type="dxa" w:w="3458"/>
            <w:vAlign w:val="center"/>
            <w:shd w:fill="DCE9F4"/>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spacing w:after="40" w:before="0" w:line="269" w:lineRule="auto"/>
            </w:pPr>
            <w:r>
              <w:rPr>
                <w:b/>
                <w:color w:val="000000"/>
                <w:sz w:val="19"/>
              </w:rPr>
              <w:t>反馈与验证</w:t>
            </w:r>
          </w:p>
        </w:tc>
      </w:tr>
      <w:tr>
        <w:trPr>
          <w:cantSplit/>
        </w:trPr>
        <w:tc>
          <w:tcPr>
            <w:tcW w:type="dxa" w:w="1701"/>
            <w:vAlign w:val="cente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before="0" w:line="269" w:lineRule="auto"/>
            </w:pPr>
            <w:r>
              <w:rPr>
                <w:b w:val="0"/>
                <w:color w:val="000000"/>
                <w:sz w:val="19"/>
              </w:rPr>
              <w:t>生命周期/调参</w:t>
            </w:r>
          </w:p>
        </w:tc>
        <w:tc>
          <w:tcPr>
            <w:tcW w:type="dxa" w:w="4649"/>
            <w:vAlign w:val="cente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before="0" w:line="269" w:lineRule="auto"/>
            </w:pPr>
            <w:r>
              <w:rPr>
                <w:b w:val="0"/>
                <w:color w:val="000000"/>
                <w:sz w:val="19"/>
              </w:rPr>
              <w:t>调用现有管理命令及回执；参数遵循live/reset_only分类</w:t>
            </w:r>
          </w:p>
        </w:tc>
        <w:tc>
          <w:tcPr>
            <w:tcW w:type="dxa" w:w="3458"/>
            <w:vAlign w:val="cente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before="0" w:line="269" w:lineRule="auto"/>
            </w:pPr>
            <w:r>
              <w:rPr>
                <w:b w:val="0"/>
                <w:color w:val="000000"/>
                <w:sz w:val="19"/>
              </w:rPr>
              <w:t>记录accepted、拒绝原因；重置类参数仅在允许状态提交</w:t>
            </w:r>
          </w:p>
        </w:tc>
      </w:tr>
      <w:tr>
        <w:trPr>
          <w:cantSplit/>
        </w:trPr>
        <w:tc>
          <w:tcPr>
            <w:tcW w:type="dxa" w:w="1701"/>
            <w:vAlign w:val="center"/>
            <w:shd w:fill="F4F6F8"/>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before="0" w:line="269" w:lineRule="auto"/>
            </w:pPr>
            <w:r>
              <w:rPr>
                <w:b w:val="0"/>
                <w:color w:val="000000"/>
                <w:sz w:val="19"/>
              </w:rPr>
              <w:t>任务/航线目标</w:t>
            </w:r>
          </w:p>
        </w:tc>
        <w:tc>
          <w:tcPr>
            <w:tcW w:type="dxa" w:w="4649"/>
            <w:vAlign w:val="center"/>
            <w:shd w:fill="F4F6F8"/>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before="0" w:line="269" w:lineRule="auto"/>
            </w:pPr>
            <w:r>
              <w:rPr>
                <w:b w:val="0"/>
                <w:color w:val="000000"/>
                <w:sz w:val="19"/>
              </w:rPr>
              <w:t>转交声明的任务控制器或地面站；定义高度基准和NED转换</w:t>
            </w:r>
          </w:p>
        </w:tc>
        <w:tc>
          <w:tcPr>
            <w:tcW w:type="dxa" w:w="3458"/>
            <w:vAlign w:val="center"/>
            <w:shd w:fill="F4F6F8"/>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before="0" w:line="269" w:lineRule="auto"/>
            </w:pPr>
            <w:r>
              <w:rPr>
                <w:b w:val="0"/>
                <w:color w:val="000000"/>
                <w:sz w:val="19"/>
              </w:rPr>
              <w:t>接收任务回执与状态变化；load_mission不直接等于SLX根输入生效</w:t>
            </w:r>
          </w:p>
        </w:tc>
      </w:tr>
      <w:tr>
        <w:trPr>
          <w:cantSplit/>
        </w:trPr>
        <w:tc>
          <w:tcPr>
            <w:tcW w:type="dxa" w:w="1701"/>
            <w:vAlign w:val="cente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before="0" w:line="269" w:lineRule="auto"/>
            </w:pPr>
            <w:r>
              <w:rPr>
                <w:b w:val="0"/>
                <w:color w:val="000000"/>
                <w:sz w:val="19"/>
              </w:rPr>
              <w:t>模型飞控输入</w:t>
            </w:r>
          </w:p>
        </w:tc>
        <w:tc>
          <w:tcPr>
            <w:tcW w:type="dxa" w:w="4649"/>
            <w:vAlign w:val="cente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before="0" w:line="269" w:lineRule="auto"/>
            </w:pPr>
            <w:r>
              <w:rPr>
                <w:b w:val="0"/>
                <w:color w:val="000000"/>
                <w:sz w:val="19"/>
              </w:rPr>
              <w:t>映射到set_inputs.flight_control中hil_contract.json声明字段</w:t>
            </w:r>
          </w:p>
        </w:tc>
        <w:tc>
          <w:tcPr>
            <w:tcW w:type="dxa" w:w="3458"/>
            <w:vAlign w:val="cente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before="0" w:line="269" w:lineRule="auto"/>
            </w:pPr>
            <w:r>
              <w:rPr>
                <w:b w:val="0"/>
                <w:color w:val="000000"/>
                <w:sz w:val="19"/>
              </w:rPr>
              <w:t>校验类型/维度/范围；整组原子提交；观察模型响应</w:t>
            </w:r>
          </w:p>
        </w:tc>
      </w:tr>
      <w:tr>
        <w:trPr>
          <w:cantSplit/>
        </w:trPr>
        <w:tc>
          <w:tcPr>
            <w:tcW w:type="dxa" w:w="1701"/>
            <w:vAlign w:val="center"/>
            <w:shd w:fill="F4F6F8"/>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before="0" w:line="269" w:lineRule="auto"/>
            </w:pPr>
            <w:r>
              <w:rPr>
                <w:b w:val="0"/>
                <w:color w:val="000000"/>
                <w:sz w:val="19"/>
              </w:rPr>
              <w:t>环境输入</w:t>
            </w:r>
          </w:p>
        </w:tc>
        <w:tc>
          <w:tcPr>
            <w:tcW w:type="dxa" w:w="4649"/>
            <w:vAlign w:val="center"/>
            <w:shd w:fill="F4F6F8"/>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before="0" w:line="269" w:lineRule="auto"/>
            </w:pPr>
            <w:r>
              <w:rPr>
                <w:b w:val="0"/>
                <w:color w:val="000000"/>
                <w:sz w:val="19"/>
              </w:rPr>
              <w:t>映射到set_inputs.environment，如已声明的风矢量</w:t>
            </w:r>
          </w:p>
        </w:tc>
        <w:tc>
          <w:tcPr>
            <w:tcW w:type="dxa" w:w="3458"/>
            <w:vAlign w:val="center"/>
            <w:shd w:fill="F4F6F8"/>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before="0" w:line="269" w:lineRule="auto"/>
            </w:pPr>
            <w:r>
              <w:rPr>
                <w:b w:val="0"/>
                <w:color w:val="000000"/>
                <w:sz w:val="19"/>
              </w:rPr>
              <w:t>读取应用事件或模型输入探针；核对单位与作用时刻</w:t>
            </w:r>
          </w:p>
        </w:tc>
      </w:tr>
      <w:tr>
        <w:trPr>
          <w:cantSplit/>
        </w:trPr>
        <w:tc>
          <w:tcPr>
            <w:tcW w:type="dxa" w:w="1701"/>
            <w:vAlign w:val="cente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before="0" w:line="269" w:lineRule="auto"/>
            </w:pPr>
            <w:r>
              <w:rPr>
                <w:b w:val="0"/>
                <w:color w:val="000000"/>
                <w:sz w:val="19"/>
              </w:rPr>
              <w:t>模型故障</w:t>
            </w:r>
          </w:p>
        </w:tc>
        <w:tc>
          <w:tcPr>
            <w:tcW w:type="dxa" w:w="4649"/>
            <w:vAlign w:val="cente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before="0" w:line="269" w:lineRule="auto"/>
            </w:pPr>
            <w:r>
              <w:rPr>
                <w:b w:val="0"/>
                <w:color w:val="000000"/>
                <w:sz w:val="19"/>
              </w:rPr>
              <w:t>映射到set_inputs.fault中已声明字段；实际作用由模型实现</w:t>
            </w:r>
          </w:p>
        </w:tc>
        <w:tc>
          <w:tcPr>
            <w:tcW w:type="dxa" w:w="3458"/>
            <w:vAlign w:val="cente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before="0" w:line="269" w:lineRule="auto"/>
            </w:pPr>
            <w:r>
              <w:rPr>
                <w:b w:val="0"/>
                <w:color w:val="000000"/>
                <w:sz w:val="19"/>
              </w:rPr>
              <w:t>验证故障确实作用于模型和输出，而非仅记录故障码</w:t>
            </w:r>
          </w:p>
        </w:tc>
      </w:tr>
      <w:tr>
        <w:trPr>
          <w:cantSplit/>
        </w:trPr>
        <w:tc>
          <w:tcPr>
            <w:tcW w:type="dxa" w:w="1701"/>
            <w:vAlign w:val="center"/>
            <w:shd w:fill="F4F6F8"/>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before="0" w:line="269" w:lineRule="auto"/>
            </w:pPr>
            <w:r>
              <w:rPr>
                <w:b w:val="0"/>
                <w:color w:val="000000"/>
                <w:sz w:val="19"/>
              </w:rPr>
              <w:t>执行器输入</w:t>
            </w:r>
          </w:p>
        </w:tc>
        <w:tc>
          <w:tcPr>
            <w:tcW w:type="dxa" w:w="4649"/>
            <w:vAlign w:val="center"/>
            <w:shd w:fill="F4F6F8"/>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before="0" w:line="269" w:lineRule="auto"/>
            </w:pPr>
            <w:r>
              <w:rPr>
                <w:b w:val="0"/>
                <w:color w:val="000000"/>
                <w:sz w:val="19"/>
              </w:rPr>
              <w:t>使用actuator_command与契约通道、范围、安全值及唯一控制源</w:t>
            </w:r>
          </w:p>
        </w:tc>
        <w:tc>
          <w:tcPr>
            <w:tcW w:type="dxa" w:w="3458"/>
            <w:vAlign w:val="center"/>
            <w:shd w:fill="F4F6F8"/>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before="0" w:line="269" w:lineRule="auto"/>
            </w:pPr>
            <w:r>
              <w:rPr>
                <w:b w:val="0"/>
                <w:color w:val="000000"/>
                <w:sz w:val="19"/>
              </w:rPr>
              <w:t>检查序号/有效期和选源；输出拒绝与超时安全状态</w:t>
            </w:r>
          </w:p>
        </w:tc>
      </w:tr>
      <w:tr>
        <w:trPr>
          <w:cantSplit/>
        </w:trPr>
        <w:tc>
          <w:tcPr>
            <w:tcW w:type="dxa" w:w="1701"/>
            <w:vAlign w:val="cente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before="0" w:line="269" w:lineRule="auto"/>
            </w:pPr>
            <w:r>
              <w:rPr>
                <w:b w:val="0"/>
                <w:color w:val="000000"/>
                <w:sz w:val="19"/>
              </w:rPr>
              <w:t>虚拟传感器</w:t>
            </w:r>
          </w:p>
        </w:tc>
        <w:tc>
          <w:tcPr>
            <w:tcW w:type="dxa" w:w="4649"/>
            <w:vAlign w:val="cente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before="0" w:line="269" w:lineRule="auto"/>
            </w:pPr>
            <w:r>
              <w:rPr>
                <w:b w:val="0"/>
                <w:color w:val="000000"/>
                <w:sz w:val="19"/>
              </w:rPr>
              <w:t>使用模型真值生成IMU/GPS/气压计，提供给虚拟或实体被测飞控</w:t>
            </w:r>
          </w:p>
        </w:tc>
        <w:tc>
          <w:tcPr>
            <w:tcW w:type="dxa" w:w="3458"/>
            <w:vAlign w:val="cente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before="0" w:line="269" w:lineRule="auto"/>
            </w:pPr>
            <w:r>
              <w:rPr>
                <w:b w:val="0"/>
                <w:color w:val="000000"/>
                <w:sz w:val="19"/>
              </w:rPr>
              <w:t>观察传感器新鲜度与飞控响应；禁止人工改写真值充当闭环响应</w:t>
            </w:r>
          </w:p>
        </w:tc>
      </w:tr>
      <w:tr>
        <w:trPr>
          <w:cantSplit/>
        </w:trPr>
        <w:tc>
          <w:tcPr>
            <w:tcW w:type="dxa" w:w="1701"/>
            <w:vAlign w:val="center"/>
            <w:shd w:fill="F4F6F8"/>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before="0" w:line="269" w:lineRule="auto"/>
            </w:pPr>
            <w:r>
              <w:rPr>
                <w:b w:val="0"/>
                <w:color w:val="000000"/>
                <w:sz w:val="19"/>
              </w:rPr>
              <w:t>视频/事件</w:t>
            </w:r>
          </w:p>
        </w:tc>
        <w:tc>
          <w:tcPr>
            <w:tcW w:type="dxa" w:w="4649"/>
            <w:vAlign w:val="center"/>
            <w:shd w:fill="F4F6F8"/>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before="0" w:line="269" w:lineRule="auto"/>
            </w:pPr>
            <w:r>
              <w:rPr>
                <w:b w:val="0"/>
                <w:color w:val="000000"/>
                <w:sz w:val="19"/>
              </w:rPr>
              <w:t>独立服务处理视频字节；接入服务传递触发、帧号和时间关联</w:t>
            </w:r>
          </w:p>
        </w:tc>
        <w:tc>
          <w:tcPr>
            <w:tcW w:type="dxa" w:w="3458"/>
            <w:vAlign w:val="center"/>
            <w:shd w:fill="F4F6F8"/>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before="0" w:line="269" w:lineRule="auto"/>
            </w:pPr>
            <w:r>
              <w:rPr>
                <w:b w:val="0"/>
                <w:color w:val="000000"/>
                <w:sz w:val="19"/>
              </w:rPr>
              <w:t>帧接收与算法完成事件；无图像模块时仅标记触发接口验证</w:t>
            </w:r>
          </w:p>
        </w:tc>
      </w:tr>
    </w:tbl>
    <w:p/>
    <w:p>
      <w:pPr>
        <w:pStyle w:val="4"/>
        <w:keepNext/>
      </w:pPr>
      <w:r>
        <w:rPr>
          <w:color w:val="000000"/>
        </w:rPr>
        <w:t>4.4 外部ICD与模型契约分工</w:t>
      </w:r>
    </w:p>
    <w:p>
      <w:pPr>
        <w:widowControl/>
      </w:pPr>
      <w:r>
        <w:t>外部ICD描述线上报文与业务语义；hil_contract.json描述已交付模型的真实输入输出、单位、维度、范围、执行器与模型能力。映射清单逐项记录外部信号、编码、HIL接口、契约路径、物理通道、周期、失效策略及验证用例。不存在于模型契约中的字段应明确拒绝，不生成默认零值或伪造输出。</w:t>
      </w:r>
    </w:p>
    <w:tbl>
      <w:tblPr>
        <w:tblW w:type="auto" w:w="0"/>
        <w:jc w:val="center"/>
        <w:tblLayout w:type="fixed"/>
        <w:tblLook w:firstColumn="1" w:firstRow="1" w:lastColumn="0" w:lastRow="0" w:noHBand="0" w:noVBand="1" w:val="04A0"/>
      </w:tblPr>
      <w:tblGrid>
        <w:gridCol w:w="1814"/>
        <w:gridCol w:w="7994"/>
      </w:tblGrid>
      <w:tr>
        <w:trPr>
          <w:tblHeader/>
          <w:cantSplit/>
        </w:trPr>
        <w:tc>
          <w:tcPr>
            <w:tcW w:type="dxa" w:w="1814"/>
            <w:vAlign w:val="center"/>
            <w:shd w:fill="DCE9F4"/>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spacing w:after="40" w:before="0" w:line="269" w:lineRule="auto"/>
            </w:pPr>
            <w:r>
              <w:rPr>
                <w:b/>
                <w:color w:val="000000"/>
                <w:sz w:val="19"/>
              </w:rPr>
              <w:t>契约项</w:t>
            </w:r>
          </w:p>
        </w:tc>
        <w:tc>
          <w:tcPr>
            <w:tcW w:type="dxa" w:w="7994"/>
            <w:vAlign w:val="center"/>
            <w:shd w:fill="DCE9F4"/>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spacing w:after="40" w:before="0" w:line="269" w:lineRule="auto"/>
            </w:pPr>
            <w:r>
              <w:rPr>
                <w:b/>
                <w:color w:val="000000"/>
                <w:sz w:val="19"/>
              </w:rPr>
              <w:t>冻结内容</w:t>
            </w:r>
          </w:p>
        </w:tc>
      </w:tr>
      <w:tr>
        <w:trPr>
          <w:cantSplit/>
        </w:trPr>
        <w:tc>
          <w:tcPr>
            <w:tcW w:type="dxa" w:w="1814"/>
            <w:vAlign w:val="cente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before="0" w:line="269" w:lineRule="auto"/>
            </w:pPr>
            <w:r>
              <w:rPr>
                <w:b w:val="0"/>
                <w:color w:val="000000"/>
                <w:sz w:val="19"/>
              </w:rPr>
              <w:t>版本与标识</w:t>
            </w:r>
          </w:p>
        </w:tc>
        <w:tc>
          <w:tcPr>
            <w:tcW w:type="dxa" w:w="7994"/>
            <w:vAlign w:val="cente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before="0" w:line="269" w:lineRule="auto"/>
            </w:pPr>
            <w:r>
              <w:rPr>
                <w:b w:val="0"/>
                <w:color w:val="000000"/>
                <w:sz w:val="19"/>
              </w:rPr>
              <w:t>protocol_version、schema_hash、run_id、source_id、vehicle_id、scenario_id</w:t>
            </w:r>
          </w:p>
        </w:tc>
      </w:tr>
      <w:tr>
        <w:trPr>
          <w:cantSplit/>
        </w:trPr>
        <w:tc>
          <w:tcPr>
            <w:tcW w:type="dxa" w:w="1814"/>
            <w:vAlign w:val="center"/>
            <w:shd w:fill="F4F6F8"/>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before="0" w:line="269" w:lineRule="auto"/>
            </w:pPr>
            <w:r>
              <w:rPr>
                <w:b w:val="0"/>
                <w:color w:val="000000"/>
                <w:sz w:val="19"/>
              </w:rPr>
              <w:t>报文与通道</w:t>
            </w:r>
          </w:p>
        </w:tc>
        <w:tc>
          <w:tcPr>
            <w:tcW w:type="dxa" w:w="7994"/>
            <w:vAlign w:val="center"/>
            <w:shd w:fill="F4F6F8"/>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before="0" w:line="269" w:lineRule="auto"/>
            </w:pPr>
            <w:r>
              <w:rPr>
                <w:b w:val="0"/>
                <w:color w:val="000000"/>
                <w:sz w:val="19"/>
              </w:rPr>
              <w:t>消息类型、CAN ID或端口、方向、长度、标准/扩展帧、编码和分片规则</w:t>
            </w:r>
          </w:p>
        </w:tc>
      </w:tr>
      <w:tr>
        <w:trPr>
          <w:cantSplit/>
        </w:trPr>
        <w:tc>
          <w:tcPr>
            <w:tcW w:type="dxa" w:w="1814"/>
            <w:vAlign w:val="cente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before="0" w:line="269" w:lineRule="auto"/>
            </w:pPr>
            <w:r>
              <w:rPr>
                <w:b w:val="0"/>
                <w:color w:val="000000"/>
                <w:sz w:val="19"/>
              </w:rPr>
              <w:t>数值语义</w:t>
            </w:r>
          </w:p>
        </w:tc>
        <w:tc>
          <w:tcPr>
            <w:tcW w:type="dxa" w:w="7994"/>
            <w:vAlign w:val="cente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before="0" w:line="269" w:lineRule="auto"/>
            </w:pPr>
            <w:r>
              <w:rPr>
                <w:b w:val="0"/>
                <w:color w:val="000000"/>
                <w:sz w:val="19"/>
              </w:rPr>
              <w:t>类型、维度、缩放、偏移、单位、坐标与高度基准、有效范围及无效码</w:t>
            </w:r>
          </w:p>
        </w:tc>
      </w:tr>
      <w:tr>
        <w:trPr>
          <w:cantSplit/>
        </w:trPr>
        <w:tc>
          <w:tcPr>
            <w:tcW w:type="dxa" w:w="1814"/>
            <w:vAlign w:val="center"/>
            <w:shd w:fill="F4F6F8"/>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before="0" w:line="269" w:lineRule="auto"/>
            </w:pPr>
            <w:r>
              <w:rPr>
                <w:b w:val="0"/>
                <w:color w:val="000000"/>
                <w:sz w:val="19"/>
              </w:rPr>
              <w:t>时间</w:t>
            </w:r>
          </w:p>
        </w:tc>
        <w:tc>
          <w:tcPr>
            <w:tcW w:type="dxa" w:w="7994"/>
            <w:vAlign w:val="center"/>
            <w:shd w:fill="F4F6F8"/>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before="0" w:line="269" w:lineRule="auto"/>
            </w:pPr>
            <w:r>
              <w:rPr>
                <w:b w:val="0"/>
                <w:color w:val="000000"/>
                <w:sz w:val="19"/>
              </w:rPr>
              <w:t>仿真时间/单调时间/UTC各自用途；序号、有效期、频率、抖动及同步误差</w:t>
            </w:r>
          </w:p>
        </w:tc>
      </w:tr>
      <w:tr>
        <w:trPr>
          <w:cantSplit/>
        </w:trPr>
        <w:tc>
          <w:tcPr>
            <w:tcW w:type="dxa" w:w="1814"/>
            <w:vAlign w:val="cente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before="0" w:line="269" w:lineRule="auto"/>
            </w:pPr>
            <w:r>
              <w:rPr>
                <w:b w:val="0"/>
                <w:color w:val="000000"/>
                <w:sz w:val="19"/>
              </w:rPr>
              <w:t>可靠性</w:t>
            </w:r>
          </w:p>
        </w:tc>
        <w:tc>
          <w:tcPr>
            <w:tcW w:type="dxa" w:w="7994"/>
            <w:vAlign w:val="cente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before="0" w:line="269" w:lineRule="auto"/>
            </w:pPr>
            <w:r>
              <w:rPr>
                <w:b w:val="0"/>
                <w:color w:val="000000"/>
                <w:sz w:val="19"/>
              </w:rPr>
              <w:t>应用校验参数、心跳、重连、会话重置、重复/乱序/陈旧帧策略</w:t>
            </w:r>
          </w:p>
        </w:tc>
      </w:tr>
      <w:tr>
        <w:trPr>
          <w:cantSplit/>
        </w:trPr>
        <w:tc>
          <w:tcPr>
            <w:tcW w:type="dxa" w:w="1814"/>
            <w:vAlign w:val="center"/>
            <w:shd w:fill="F4F6F8"/>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before="0" w:line="269" w:lineRule="auto"/>
            </w:pPr>
            <w:r>
              <w:rPr>
                <w:b w:val="0"/>
                <w:color w:val="000000"/>
                <w:sz w:val="19"/>
              </w:rPr>
              <w:t>控制与回执</w:t>
            </w:r>
          </w:p>
        </w:tc>
        <w:tc>
          <w:tcPr>
            <w:tcW w:type="dxa" w:w="7994"/>
            <w:vAlign w:val="center"/>
            <w:shd w:fill="F4F6F8"/>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before="0" w:line="269" w:lineRule="auto"/>
            </w:pPr>
            <w:r>
              <w:rPr>
                <w:b w:val="0"/>
                <w:color w:val="000000"/>
                <w:sz w:val="19"/>
              </w:rPr>
              <w:t>控制源、权限、request_id、接收/应用/拒绝事件与超时行为</w:t>
            </w:r>
          </w:p>
        </w:tc>
      </w:tr>
      <w:tr>
        <w:trPr>
          <w:cantSplit/>
        </w:trPr>
        <w:tc>
          <w:tcPr>
            <w:tcW w:type="dxa" w:w="1814"/>
            <w:vAlign w:val="cente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before="0" w:line="269" w:lineRule="auto"/>
            </w:pPr>
            <w:r>
              <w:rPr>
                <w:b w:val="0"/>
                <w:color w:val="000000"/>
                <w:sz w:val="19"/>
              </w:rPr>
              <w:t>能力声明</w:t>
            </w:r>
          </w:p>
        </w:tc>
        <w:tc>
          <w:tcPr>
            <w:tcW w:type="dxa" w:w="7994"/>
            <w:vAlign w:val="cente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before="0" w:line="269" w:lineRule="auto"/>
            </w:pPr>
            <w:r>
              <w:rPr>
                <w:b w:val="0"/>
                <w:color w:val="000000"/>
                <w:sz w:val="19"/>
              </w:rPr>
              <w:t>必选和可选消息；模型/驱动支持矩阵；不支持能力明确返回拒绝</w:t>
            </w:r>
          </w:p>
        </w:tc>
      </w:tr>
      <w:tr>
        <w:trPr>
          <w:cantSplit/>
        </w:trPr>
        <w:tc>
          <w:tcPr>
            <w:tcW w:type="dxa" w:w="1814"/>
            <w:vAlign w:val="center"/>
            <w:shd w:fill="F4F6F8"/>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before="0" w:line="269" w:lineRule="auto"/>
            </w:pPr>
            <w:r>
              <w:rPr>
                <w:b w:val="0"/>
                <w:color w:val="000000"/>
                <w:sz w:val="19"/>
              </w:rPr>
              <w:t>追溯</w:t>
            </w:r>
          </w:p>
        </w:tc>
        <w:tc>
          <w:tcPr>
            <w:tcW w:type="dxa" w:w="7994"/>
            <w:vAlign w:val="center"/>
            <w:shd w:fill="F4F6F8"/>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before="0" w:line="269" w:lineRule="auto"/>
            </w:pPr>
            <w:r>
              <w:rPr>
                <w:b w:val="0"/>
                <w:color w:val="000000"/>
                <w:sz w:val="19"/>
              </w:rPr>
              <w:t>ICD/DBC/场景/模型包哈希、配置快照、原码、工程量、断言结果</w:t>
            </w:r>
          </w:p>
        </w:tc>
      </w:tr>
    </w:tbl>
    <w:p/>
    <w:p>
      <w:pPr>
        <w:pStyle w:val="4"/>
        <w:keepNext/>
      </w:pPr>
      <w:r>
        <w:rPr>
          <w:color w:val="000000"/>
        </w:rPr>
        <w:t>4.5 推荐UDP联调报文</w:t>
      </w:r>
    </w:p>
    <w:p>
      <w:pPr>
        <w:widowControl/>
      </w:pPr>
      <w:r>
        <w:t>以下是待共同确认的UDP报文示例，不是已签署ICD，也不是现有C核心协议。若选为正式接口，真实3.3必须使用相同消息结构、编码、握手、校验和反馈规则。二进制大端及JSON限制均须在冻结时明确；不同传输配置分别验证，不得以业务映射相同代替线上协议一致。</w:t>
      </w:r>
    </w:p>
    <w:p>
      <w:pPr>
        <w:keepNext/>
        <w:keepLines/>
        <w:widowControl/>
        <w:spacing w:after="0" w:line="240" w:lineRule="auto"/>
      </w:pPr>
      <w:r>
        <w:rPr>
          <w:rFonts w:ascii="Consolas" w:hAnsi="Consolas"/>
          <w:sz w:val="17"/>
        </w:rPr>
        <w:t>{</w:t>
      </w:r>
    </w:p>
    <w:p>
      <w:pPr>
        <w:keepNext/>
        <w:keepLines/>
        <w:widowControl/>
        <w:spacing w:after="0" w:line="240" w:lineRule="auto"/>
      </w:pPr>
      <w:r>
        <w:rPr>
          <w:rFonts w:ascii="Consolas" w:hAnsi="Consolas"/>
          <w:sz w:val="17"/>
        </w:rPr>
        <w:t xml:space="preserve">  "protocol_version": "1.0", "run_id": "run-001",</w:t>
      </w:r>
    </w:p>
    <w:p>
      <w:pPr>
        <w:keepNext/>
        <w:keepLines/>
        <w:widowControl/>
        <w:spacing w:after="0" w:line="240" w:lineRule="auto"/>
      </w:pPr>
      <w:r>
        <w:rPr>
          <w:rFonts w:ascii="Consolas" w:hAnsi="Consolas"/>
          <w:sz w:val="17"/>
        </w:rPr>
        <w:t xml:space="preserve">  "source_id": "sender-01", "vehicle_id": "vehicle-01",</w:t>
      </w:r>
    </w:p>
    <w:p>
      <w:pPr>
        <w:keepNext/>
        <w:keepLines/>
        <w:widowControl/>
        <w:spacing w:after="0" w:line="240" w:lineRule="auto"/>
      </w:pPr>
      <w:r>
        <w:rPr>
          <w:rFonts w:ascii="Consolas" w:hAnsi="Consolas"/>
          <w:sz w:val="17"/>
        </w:rPr>
        <w:t xml:space="preserve">  "sequence": 1, "request_id": "input-001",</w:t>
      </w:r>
    </w:p>
    <w:p>
      <w:pPr>
        <w:keepNext/>
        <w:keepLines/>
        <w:widowControl/>
        <w:spacing w:after="0" w:line="240" w:lineRule="auto"/>
      </w:pPr>
      <w:r>
        <w:rPr>
          <w:rFonts w:ascii="Consolas" w:hAnsi="Consolas"/>
          <w:sz w:val="17"/>
        </w:rPr>
        <w:t xml:space="preserve">  "clock_domain": "simulation", "sim_time_us": 0,</w:t>
      </w:r>
    </w:p>
    <w:p>
      <w:pPr>
        <w:keepNext/>
        <w:keepLines/>
        <w:widowControl/>
        <w:spacing w:after="0" w:line="240" w:lineRule="auto"/>
      </w:pPr>
      <w:r>
        <w:rPr>
          <w:rFonts w:ascii="Consolas" w:hAnsi="Consolas"/>
          <w:sz w:val="17"/>
        </w:rPr>
        <w:t xml:space="preserve">  "valid_for_ms": 100, "message_type": "model_input",</w:t>
      </w:r>
    </w:p>
    <w:p>
      <w:pPr>
        <w:keepNext/>
        <w:keepLines/>
        <w:widowControl/>
        <w:spacing w:after="0" w:line="240" w:lineRule="auto"/>
      </w:pPr>
      <w:r>
        <w:rPr>
          <w:rFonts w:ascii="Consolas" w:hAnsi="Consolas"/>
          <w:sz w:val="17"/>
        </w:rPr>
        <w:t xml:space="preserve">  "payload": {"environment": {"wind_n_mps": 3.0}}</w:t>
      </w:r>
    </w:p>
    <w:p>
      <w:pPr>
        <w:keepNext w:val="0"/>
        <w:keepLines/>
        <w:widowControl/>
        <w:spacing w:after="0" w:line="240" w:lineRule="auto"/>
      </w:pPr>
      <w:r>
        <w:rPr>
          <w:rFonts w:ascii="Consolas" w:hAnsi="Consolas"/>
          <w:sz w:val="17"/>
        </w:rPr>
        <w:t>}</w:t>
      </w:r>
    </w:p>
    <w:p>
      <w:pPr>
        <w:widowControl/>
      </w:pPr>
      <w:r>
        <w:t>示例有效期100 ms仅为开发基线，正式ICD共同冻结后才生效。source_id为标准设备身份，两类发送源遵循同一格式；mock/real性质写入审计配置，不影响业务处理。若要求应用CRC，双方实现相同算法、初值、字节范围与封装。wind_n_mps仅适用于真实声明该字段的模型。</w:t>
      </w:r>
    </w:p>
    <w:p>
      <w:pPr>
        <w:widowControl/>
      </w:pPr>
      <w:r>
        <w:t>反馈按正式ICD定义返回；验证证据须区分接收、模型输入应用、任务执行和实际响应。内部证据关联run_id、ICD关联键、接收序号、拒绝原因和时间；模型应用由真实输入写入点记录步号、仿真时刻和输入探针，任务由实际消费点记录。上述字段为内部证据示例，不强制新增线上回执。正式ICD没有逐请求反馈时，可采用其已有周期状态与内部证据联合验证；只有必选业务确需新反馈时，三方在冻结前共同确定，不能为模拟器单独扩展协议。</w:t>
      </w:r>
    </w:p>
    <w:p>
      <w:pPr>
        <w:pStyle w:val="4"/>
        <w:keepNext/>
      </w:pPr>
      <w:r>
        <w:rPr>
          <w:color w:val="000000"/>
        </w:rPr>
        <w:t>4.6 回放与会话重置</w:t>
      </w:r>
    </w:p>
    <w:p>
      <w:pPr>
        <w:widowControl/>
      </w:pPr>
      <w:r>
        <w:t>输入回放保留原始相对时间及字段关联，先检查记录能否直接满足当前正式ICD。线上run_id、序号、地址、有效期及会话仅在ICD要求且允许时更新；原码合法则可直接回放。内部每次运行仍有独立证据索引，不强制写入线上载荷。方向筛选防止3.6反馈回灌；正式TCP业务须有实际连接与交互，不能用原始PCAP喷流代替。</w:t>
      </w:r>
    </w:p>
    <w:p>
      <w:pPr>
        <w:widowControl/>
      </w:pPr>
      <w:r>
        <w:t>离线分析允许变速和跳转；在线闭环默认按仿真时间1倍速推进。需要变速时，控制器、模型与视频统一支持后才启用。暂停模型时冻结场景时间并保持独立链路心跳；停发测试在运行状态进行。恢复、重置和时间回退产生新时间域/会话，并清空旧延迟队列；该协调能力须实现并验证。</w:t>
      </w:r>
    </w:p>
    <w:p>
      <w:pPr>
        <w:pStyle w:val="4"/>
        <w:keepNext/>
        <w:widowControl/>
      </w:pPr>
      <w:r>
        <w:rPr>
          <w:color w:val="000000"/>
        </w:rPr>
        <w:t>4.7 同一正式ICD与统一接入的强制约束</w:t>
      </w:r>
    </w:p>
    <w:p>
      <w:pPr>
        <w:widowControl/>
      </w:pPr>
      <w:r>
        <w:t>H01 唯一正式基线：冻结清单列明每条消息的正反方向、正式传输配置、版本、编码、单位、坐标系、时序、有效性、校验、握手、反馈和安全规则。模拟器与真实3.3均须实现全部必选项；不能以部分模拟消息推定全接口等价。</w:t>
      </w:r>
    </w:p>
    <w:p>
      <w:pPr>
        <w:widowControl/>
      </w:pPr>
      <w:r>
        <w:t>H02 同一处理路径：同一正式传输配置下，模拟器与真实3.3使用同一接收入口、解析器、校验器、模型映射和反馈编码。若正式ICD包含多种传输，各配置分别符合并验证，不允许替换时以另一种传输替代必选配置。</w:t>
      </w:r>
    </w:p>
    <w:p>
      <w:pPr>
        <w:widowControl/>
      </w:pPr>
      <w:r>
        <w:t>H03 来源透明：设备身份、凭据、会话和时间戳按标准字段变化；mock/real性质仅在审计配置中记录。3.6可按同一规则鉴权和互斥授权，但禁止按来源性质改变字段解释、业务权限、模型响应或安全策略。</w:t>
      </w:r>
    </w:p>
    <w:p>
      <w:pPr>
        <w:widowControl/>
      </w:pPr>
      <w:r>
        <w:t>H04 双向完整：真实3.3不仅发送输入，还须按正式反馈ICD完成订阅、回执关联、超时、停止及恢复交互。外部字段到模型契约的映射由3.6预先实现并冻结，不由模拟器或替换时临时转换。</w:t>
      </w:r>
    </w:p>
    <w:p>
      <w:pPr>
        <w:widowControl/>
      </w:pPr>
      <w:r>
        <w:t>H05 一致性的含义：要求协议格式与行为规则一致，不要求两台发送设备的身份值、会话号或所有模型结果逐字节相同；这些差异仅按事先冻结的字段规则和模型容差评判。物理故障测试作为独立用例，不免除必选链路验证。</w:t>
      </w:r>
    </w:p>
    <w:p>
      <w:pPr>
        <w:pStyle w:val="3"/>
        <w:keepNext/>
        <w:rPr>
          <w:rFonts w:hint="eastAsia" w:ascii="微软雅黑" w:hAnsi="微软雅黑" w:eastAsia="微软雅黑" w:cs="微软雅黑"/>
        </w:rPr>
      </w:pPr>
      <w:r>
        <w:rPr>
          <w:rFonts w:hint="eastAsia" w:ascii="微软雅黑" w:hAnsi="微软雅黑" w:eastAsia="微软雅黑" w:cs="微软雅黑"/>
          <w:color w:val="000000"/>
        </w:rPr>
        <w:t>5. 输入数据模拟软件选型</w:t>
      </w:r>
    </w:p>
    <w:p>
      <w:pPr>
        <w:widowControl/>
        <w:rPr>
          <w:rFonts w:hint="eastAsia" w:ascii="微软雅黑" w:hAnsi="微软雅黑" w:eastAsia="微软雅黑" w:cs="微软雅黑"/>
        </w:rPr>
      </w:pPr>
      <w:r>
        <w:rPr>
          <w:rFonts w:hint="eastAsia" w:ascii="微软雅黑" w:hAnsi="微软雅黑" w:eastAsia="微软雅黑" w:cs="微软雅黑"/>
        </w:rPr>
        <w:t>为尽快推进 3.6，建议优先采用成熟开源工具，而不是开发完整 3.3。以下软件适合 Ubuntu，可覆盖 CAN/CANFD、Ethernet/UDP、历史回放与自动化场景。</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64"/>
        <w:gridCol w:w="2464"/>
        <w:gridCol w:w="2464"/>
        <w:gridCol w:w="246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blHeader/>
          <w:cantSplit/>
        </w:trPr>
        <w:tc>
          <w:tcPr>
            <w:tcW w:w="2464" w:type="dxa"/>
            <w:shd w:val="clear" w:color="auto" w:fill="2F5597"/>
            <w:vAlign w:val="center"/>
          </w:tcPr>
          <w:p>
            <w:pPr>
              <w:keepNext/>
              <w:jc w:val="center"/>
              <w:rPr>
                <w:rFonts w:hint="eastAsia" w:ascii="微软雅黑" w:hAnsi="微软雅黑" w:eastAsia="微软雅黑" w:cs="微软雅黑"/>
              </w:rPr>
            </w:pPr>
            <w:r>
              <w:rPr>
                <w:rFonts w:hint="eastAsia" w:ascii="微软雅黑" w:hAnsi="微软雅黑" w:eastAsia="微软雅黑" w:cs="微软雅黑"/>
                <w:b/>
                <w:color w:val="FFFFFF"/>
                <w:sz w:val="18"/>
              </w:rPr>
              <w:t>需求</w:t>
            </w:r>
          </w:p>
        </w:tc>
        <w:tc>
          <w:tcPr>
            <w:tcW w:w="2464" w:type="dxa"/>
            <w:shd w:val="clear" w:color="auto" w:fill="2F5597"/>
            <w:vAlign w:val="center"/>
          </w:tcPr>
          <w:p>
            <w:pPr>
              <w:keepNext/>
              <w:jc w:val="center"/>
              <w:rPr>
                <w:rFonts w:hint="eastAsia" w:ascii="微软雅黑" w:hAnsi="微软雅黑" w:eastAsia="微软雅黑" w:cs="微软雅黑"/>
              </w:rPr>
            </w:pPr>
            <w:r>
              <w:rPr>
                <w:rFonts w:hint="eastAsia" w:ascii="微软雅黑" w:hAnsi="微软雅黑" w:eastAsia="微软雅黑" w:cs="微软雅黑"/>
                <w:b/>
                <w:color w:val="FFFFFF"/>
                <w:sz w:val="18"/>
              </w:rPr>
              <w:t>推荐软件</w:t>
            </w:r>
          </w:p>
        </w:tc>
        <w:tc>
          <w:tcPr>
            <w:tcW w:w="2464" w:type="dxa"/>
            <w:shd w:val="clear" w:color="auto" w:fill="2F5597"/>
            <w:vAlign w:val="center"/>
          </w:tcPr>
          <w:p>
            <w:pPr>
              <w:keepNext/>
              <w:jc w:val="center"/>
              <w:rPr>
                <w:rFonts w:hint="eastAsia" w:ascii="微软雅黑" w:hAnsi="微软雅黑" w:eastAsia="微软雅黑" w:cs="微软雅黑"/>
              </w:rPr>
            </w:pPr>
            <w:r>
              <w:rPr>
                <w:rFonts w:hint="eastAsia" w:ascii="微软雅黑" w:hAnsi="微软雅黑" w:eastAsia="微软雅黑" w:cs="微软雅黑"/>
                <w:b/>
                <w:color w:val="FFFFFF"/>
                <w:sz w:val="18"/>
              </w:rPr>
              <w:t>主要用途</w:t>
            </w:r>
          </w:p>
        </w:tc>
        <w:tc>
          <w:tcPr>
            <w:tcW w:w="2464" w:type="dxa"/>
            <w:shd w:val="clear" w:color="auto" w:fill="2F5597"/>
            <w:vAlign w:val="center"/>
          </w:tcPr>
          <w:p>
            <w:pPr>
              <w:keepNext/>
              <w:jc w:val="center"/>
              <w:rPr>
                <w:rFonts w:hint="eastAsia" w:ascii="微软雅黑" w:hAnsi="微软雅黑" w:eastAsia="微软雅黑" w:cs="微软雅黑"/>
              </w:rPr>
            </w:pPr>
            <w:r>
              <w:rPr>
                <w:rFonts w:hint="eastAsia" w:ascii="微软雅黑" w:hAnsi="微软雅黑" w:eastAsia="微软雅黑" w:cs="微软雅黑"/>
                <w:b/>
                <w:color w:val="FFFFFF"/>
                <w:sz w:val="18"/>
              </w:rPr>
              <w:t>阶段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2464" w:type="dxa"/>
            <w:shd w:val="clear" w:color="auto" w:fill="FFFFFF"/>
            <w:vAlign w:val="center"/>
          </w:tcPr>
          <w:p>
            <w:pPr>
              <w:jc w:val="left"/>
              <w:rPr>
                <w:rFonts w:hint="eastAsia" w:ascii="微软雅黑" w:hAnsi="微软雅黑" w:eastAsia="微软雅黑" w:cs="微软雅黑"/>
              </w:rPr>
            </w:pPr>
            <w:r>
              <w:rPr>
                <w:rFonts w:hint="eastAsia" w:ascii="微软雅黑" w:hAnsi="微软雅黑" w:eastAsia="微软雅黑" w:cs="微软雅黑"/>
                <w:b w:val="0"/>
                <w:color w:val="000000"/>
                <w:sz w:val="18"/>
              </w:rPr>
              <w:t>CAN/CANFD虚拟与发送</w:t>
            </w:r>
          </w:p>
        </w:tc>
        <w:tc>
          <w:tcPr>
            <w:tcW w:w="2464" w:type="dxa"/>
            <w:shd w:val="clear" w:color="auto" w:fill="FFFFFF"/>
            <w:vAlign w:val="center"/>
          </w:tcPr>
          <w:p>
            <w:pPr>
              <w:jc w:val="left"/>
              <w:rPr>
                <w:rFonts w:hint="eastAsia" w:ascii="微软雅黑" w:hAnsi="微软雅黑" w:eastAsia="微软雅黑" w:cs="微软雅黑"/>
              </w:rPr>
            </w:pPr>
            <w:r>
              <w:rPr>
                <w:rFonts w:hint="eastAsia" w:ascii="微软雅黑" w:hAnsi="微软雅黑" w:eastAsia="微软雅黑" w:cs="微软雅黑"/>
                <w:b w:val="0"/>
                <w:color w:val="000000"/>
                <w:sz w:val="18"/>
              </w:rPr>
              <w:t>SocketCAN + can-utils</w:t>
            </w:r>
          </w:p>
        </w:tc>
        <w:tc>
          <w:tcPr>
            <w:tcW w:w="2464" w:type="dxa"/>
            <w:shd w:val="clear" w:color="auto" w:fill="FFFFFF"/>
            <w:vAlign w:val="center"/>
          </w:tcPr>
          <w:p>
            <w:pPr>
              <w:jc w:val="left"/>
              <w:rPr>
                <w:rFonts w:hint="eastAsia" w:ascii="微软雅黑" w:hAnsi="微软雅黑" w:eastAsia="微软雅黑" w:cs="微软雅黑"/>
              </w:rPr>
            </w:pPr>
            <w:r>
              <w:rPr>
                <w:rFonts w:hint="eastAsia" w:ascii="微软雅黑" w:hAnsi="微软雅黑" w:eastAsia="微软雅黑" w:cs="微软雅黑"/>
                <w:b w:val="0"/>
                <w:color w:val="000000"/>
                <w:sz w:val="18"/>
              </w:rPr>
              <w:t>vcan、发送/生成/监听/回放报文</w:t>
            </w:r>
          </w:p>
        </w:tc>
        <w:tc>
          <w:tcPr>
            <w:tcW w:w="2464" w:type="dxa"/>
            <w:shd w:val="clear" w:color="auto" w:fill="FFFFFF"/>
            <w:vAlign w:val="center"/>
          </w:tcPr>
          <w:p>
            <w:pPr>
              <w:jc w:val="left"/>
              <w:rPr>
                <w:rFonts w:hint="eastAsia" w:ascii="微软雅黑" w:hAnsi="微软雅黑" w:eastAsia="微软雅黑" w:cs="微软雅黑"/>
              </w:rPr>
            </w:pPr>
            <w:r>
              <w:rPr>
                <w:rFonts w:hint="eastAsia" w:ascii="微软雅黑" w:hAnsi="微软雅黑" w:eastAsia="微软雅黑" w:cs="微软雅黑"/>
                <w:b w:val="0"/>
                <w:color w:val="000000"/>
                <w:sz w:val="18"/>
              </w:rPr>
              <w:t>开发早期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2464" w:type="dxa"/>
            <w:shd w:val="clear" w:color="auto" w:fill="F7F9FC"/>
            <w:vAlign w:val="center"/>
          </w:tcPr>
          <w:p>
            <w:pPr>
              <w:jc w:val="center"/>
              <w:rPr>
                <w:rFonts w:hint="eastAsia" w:ascii="微软雅黑" w:hAnsi="微软雅黑" w:eastAsia="微软雅黑" w:cs="微软雅黑"/>
              </w:rPr>
            </w:pPr>
            <w:r>
              <w:rPr>
                <w:rFonts w:hint="eastAsia" w:ascii="微软雅黑" w:hAnsi="微软雅黑" w:eastAsia="微软雅黑" w:cs="微软雅黑"/>
                <w:b w:val="0"/>
                <w:color w:val="000000"/>
                <w:sz w:val="18"/>
              </w:rPr>
              <w:t>CAN信号级生成</w:t>
            </w:r>
          </w:p>
        </w:tc>
        <w:tc>
          <w:tcPr>
            <w:tcW w:w="2464" w:type="dxa"/>
            <w:shd w:val="clear" w:color="auto" w:fill="F7F9FC"/>
            <w:vAlign w:val="center"/>
          </w:tcPr>
          <w:p>
            <w:pPr>
              <w:jc w:val="left"/>
              <w:rPr>
                <w:rFonts w:hint="eastAsia" w:ascii="微软雅黑" w:hAnsi="微软雅黑" w:eastAsia="微软雅黑" w:cs="微软雅黑"/>
              </w:rPr>
            </w:pPr>
            <w:r>
              <w:rPr>
                <w:rFonts w:hint="eastAsia" w:ascii="微软雅黑" w:hAnsi="微软雅黑" w:eastAsia="微软雅黑" w:cs="微软雅黑"/>
                <w:b w:val="0"/>
                <w:color w:val="000000"/>
                <w:sz w:val="18"/>
              </w:rPr>
              <w:t>python-can + cantools</w:t>
            </w:r>
          </w:p>
        </w:tc>
        <w:tc>
          <w:tcPr>
            <w:tcW w:w="2464" w:type="dxa"/>
            <w:shd w:val="clear" w:color="auto" w:fill="F7F9FC"/>
            <w:vAlign w:val="center"/>
          </w:tcPr>
          <w:p>
            <w:pPr>
              <w:jc w:val="left"/>
              <w:rPr>
                <w:rFonts w:hint="eastAsia" w:ascii="微软雅黑" w:hAnsi="微软雅黑" w:eastAsia="微软雅黑" w:cs="微软雅黑"/>
              </w:rPr>
            </w:pPr>
            <w:r>
              <w:rPr>
                <w:rFonts w:hint="eastAsia" w:ascii="微软雅黑" w:hAnsi="微软雅黑" w:eastAsia="微软雅黑" w:cs="微软雅黑"/>
                <w:b w:val="0"/>
                <w:color w:val="000000"/>
                <w:sz w:val="18"/>
              </w:rPr>
              <w:t>按DBC/ICD编码并发送工程信号</w:t>
            </w:r>
          </w:p>
        </w:tc>
        <w:tc>
          <w:tcPr>
            <w:tcW w:w="2464" w:type="dxa"/>
            <w:shd w:val="clear" w:color="auto" w:fill="F7F9FC"/>
            <w:vAlign w:val="center"/>
          </w:tcPr>
          <w:p>
            <w:pPr>
              <w:jc w:val="left"/>
              <w:rPr>
                <w:rFonts w:hint="eastAsia" w:ascii="微软雅黑" w:hAnsi="微软雅黑" w:eastAsia="微软雅黑" w:cs="微软雅黑"/>
              </w:rPr>
            </w:pPr>
            <w:r>
              <w:rPr>
                <w:rFonts w:hint="eastAsia" w:ascii="微软雅黑" w:hAnsi="微软雅黑" w:eastAsia="微软雅黑" w:cs="微软雅黑"/>
                <w:b w:val="0"/>
                <w:color w:val="000000"/>
                <w:sz w:val="18"/>
              </w:rPr>
              <w:t>开发/联调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2464" w:type="dxa"/>
            <w:shd w:val="clear" w:color="auto" w:fill="FFFFFF"/>
            <w:vAlign w:val="center"/>
          </w:tcPr>
          <w:p>
            <w:pPr>
              <w:jc w:val="center"/>
              <w:rPr>
                <w:rFonts w:hint="eastAsia" w:ascii="微软雅黑" w:hAnsi="微软雅黑" w:eastAsia="微软雅黑" w:cs="微软雅黑"/>
              </w:rPr>
            </w:pPr>
            <w:r>
              <w:rPr>
                <w:rFonts w:hint="eastAsia" w:ascii="微软雅黑" w:hAnsi="微软雅黑" w:eastAsia="微软雅黑" w:cs="微软雅黑"/>
                <w:b w:val="0"/>
                <w:color w:val="000000"/>
                <w:sz w:val="18"/>
              </w:rPr>
              <w:t>CAN图形化操作</w:t>
            </w:r>
          </w:p>
        </w:tc>
        <w:tc>
          <w:tcPr>
            <w:tcW w:w="2464" w:type="dxa"/>
            <w:shd w:val="clear" w:color="auto" w:fill="FFFFFF"/>
            <w:vAlign w:val="center"/>
          </w:tcPr>
          <w:p>
            <w:pPr>
              <w:jc w:val="left"/>
              <w:rPr>
                <w:rFonts w:hint="eastAsia" w:ascii="微软雅黑" w:hAnsi="微软雅黑" w:eastAsia="微软雅黑" w:cs="微软雅黑"/>
              </w:rPr>
            </w:pPr>
            <w:r>
              <w:rPr>
                <w:rFonts w:hint="eastAsia" w:ascii="微软雅黑" w:hAnsi="微软雅黑" w:eastAsia="微软雅黑" w:cs="微软雅黑"/>
                <w:b w:val="0"/>
                <w:color w:val="000000"/>
                <w:sz w:val="18"/>
              </w:rPr>
              <w:t>SavvyCAN</w:t>
            </w:r>
          </w:p>
        </w:tc>
        <w:tc>
          <w:tcPr>
            <w:tcW w:w="2464" w:type="dxa"/>
            <w:shd w:val="clear" w:color="auto" w:fill="FFFFFF"/>
            <w:vAlign w:val="center"/>
          </w:tcPr>
          <w:p>
            <w:pPr>
              <w:jc w:val="left"/>
              <w:rPr>
                <w:rFonts w:hint="eastAsia" w:ascii="微软雅黑" w:hAnsi="微软雅黑" w:eastAsia="微软雅黑" w:cs="微软雅黑"/>
              </w:rPr>
            </w:pPr>
            <w:r>
              <w:rPr>
                <w:rFonts w:hint="eastAsia" w:ascii="微软雅黑" w:hAnsi="微软雅黑" w:eastAsia="微软雅黑" w:cs="微软雅黑"/>
                <w:b w:val="0"/>
                <w:color w:val="000000"/>
                <w:sz w:val="18"/>
              </w:rPr>
              <w:t>人工发送、监听、记录、信号绘图</w:t>
            </w:r>
          </w:p>
        </w:tc>
        <w:tc>
          <w:tcPr>
            <w:tcW w:w="2464" w:type="dxa"/>
            <w:shd w:val="clear" w:color="auto" w:fill="FFFFFF"/>
            <w:vAlign w:val="center"/>
          </w:tcPr>
          <w:p>
            <w:pPr>
              <w:jc w:val="left"/>
              <w:rPr>
                <w:rFonts w:hint="eastAsia" w:ascii="微软雅黑" w:hAnsi="微软雅黑" w:eastAsia="微软雅黑" w:cs="微软雅黑"/>
              </w:rPr>
            </w:pPr>
            <w:r>
              <w:rPr>
                <w:rFonts w:hint="eastAsia" w:ascii="微软雅黑" w:hAnsi="微软雅黑" w:eastAsia="微软雅黑" w:cs="微软雅黑"/>
                <w:b w:val="0"/>
                <w:color w:val="000000"/>
                <w:sz w:val="18"/>
              </w:rPr>
              <w:t>人工联调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2464" w:type="dxa"/>
            <w:shd w:val="clear" w:color="auto" w:fill="F7F9FC"/>
            <w:vAlign w:val="center"/>
          </w:tcPr>
          <w:p>
            <w:pPr>
              <w:jc w:val="left"/>
              <w:rPr>
                <w:rFonts w:hint="eastAsia" w:ascii="微软雅黑" w:hAnsi="微软雅黑" w:eastAsia="微软雅黑" w:cs="微软雅黑"/>
              </w:rPr>
            </w:pPr>
            <w:r>
              <w:rPr>
                <w:rFonts w:hint="eastAsia" w:ascii="微软雅黑" w:hAnsi="微软雅黑" w:eastAsia="微软雅黑" w:cs="微软雅黑"/>
                <w:b w:val="0"/>
                <w:color w:val="000000"/>
                <w:sz w:val="18"/>
              </w:rPr>
              <w:t>Ethernet/UDP发包</w:t>
            </w:r>
          </w:p>
        </w:tc>
        <w:tc>
          <w:tcPr>
            <w:tcW w:w="2464" w:type="dxa"/>
            <w:shd w:val="clear" w:color="auto" w:fill="F7F9FC"/>
            <w:vAlign w:val="center"/>
          </w:tcPr>
          <w:p>
            <w:pPr>
              <w:jc w:val="left"/>
              <w:rPr>
                <w:rFonts w:hint="eastAsia" w:ascii="微软雅黑" w:hAnsi="微软雅黑" w:eastAsia="微软雅黑" w:cs="微软雅黑"/>
              </w:rPr>
            </w:pPr>
            <w:r>
              <w:rPr>
                <w:rFonts w:hint="eastAsia" w:ascii="微软雅黑" w:hAnsi="微软雅黑" w:eastAsia="微软雅黑" w:cs="微软雅黑"/>
                <w:b w:val="0"/>
                <w:color w:val="000000"/>
                <w:sz w:val="18"/>
              </w:rPr>
              <w:t>Ostinato</w:t>
            </w:r>
          </w:p>
        </w:tc>
        <w:tc>
          <w:tcPr>
            <w:tcW w:w="2464" w:type="dxa"/>
            <w:shd w:val="clear" w:color="auto" w:fill="F7F9FC"/>
            <w:vAlign w:val="center"/>
          </w:tcPr>
          <w:p>
            <w:pPr>
              <w:jc w:val="left"/>
              <w:rPr>
                <w:rFonts w:hint="eastAsia" w:ascii="微软雅黑" w:hAnsi="微软雅黑" w:eastAsia="微软雅黑" w:cs="微软雅黑"/>
              </w:rPr>
            </w:pPr>
            <w:r>
              <w:rPr>
                <w:rFonts w:hint="eastAsia" w:ascii="微软雅黑" w:hAnsi="微软雅黑" w:eastAsia="微软雅黑" w:cs="微软雅黑"/>
                <w:b w:val="0"/>
                <w:color w:val="000000"/>
                <w:sz w:val="18"/>
              </w:rPr>
              <w:t>图形化构造Ethernet/IP/UDP/TCP</w:t>
            </w:r>
          </w:p>
        </w:tc>
        <w:tc>
          <w:tcPr>
            <w:tcW w:w="2464" w:type="dxa"/>
            <w:shd w:val="clear" w:color="auto" w:fill="F7F9FC"/>
            <w:vAlign w:val="center"/>
          </w:tcPr>
          <w:p>
            <w:pPr>
              <w:jc w:val="left"/>
              <w:rPr>
                <w:rFonts w:hint="eastAsia" w:ascii="微软雅黑" w:hAnsi="微软雅黑" w:eastAsia="微软雅黑" w:cs="微软雅黑"/>
              </w:rPr>
            </w:pPr>
            <w:r>
              <w:rPr>
                <w:rFonts w:hint="eastAsia" w:ascii="微软雅黑" w:hAnsi="微软雅黑" w:eastAsia="微软雅黑" w:cs="微软雅黑"/>
                <w:b w:val="0"/>
                <w:color w:val="000000"/>
                <w:sz w:val="18"/>
              </w:rPr>
              <w:t>接口联调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2464" w:type="dxa"/>
            <w:shd w:val="clear" w:color="auto" w:fill="FFFFFF"/>
            <w:vAlign w:val="center"/>
          </w:tcPr>
          <w:p>
            <w:pPr>
              <w:jc w:val="center"/>
              <w:rPr>
                <w:rFonts w:hint="eastAsia" w:ascii="微软雅黑" w:hAnsi="微软雅黑" w:eastAsia="微软雅黑" w:cs="微软雅黑"/>
              </w:rPr>
            </w:pPr>
            <w:r>
              <w:rPr>
                <w:rFonts w:hint="eastAsia" w:ascii="微软雅黑" w:hAnsi="微软雅黑" w:eastAsia="微软雅黑" w:cs="微软雅黑"/>
                <w:b w:val="0"/>
                <w:color w:val="000000"/>
                <w:sz w:val="18"/>
              </w:rPr>
              <w:t>自定义Ethernet协议</w:t>
            </w:r>
          </w:p>
        </w:tc>
        <w:tc>
          <w:tcPr>
            <w:tcW w:w="2464" w:type="dxa"/>
            <w:shd w:val="clear" w:color="auto" w:fill="FFFFFF"/>
            <w:vAlign w:val="center"/>
          </w:tcPr>
          <w:p>
            <w:pPr>
              <w:jc w:val="left"/>
              <w:rPr>
                <w:rFonts w:hint="eastAsia" w:ascii="微软雅黑" w:hAnsi="微软雅黑" w:eastAsia="微软雅黑" w:cs="微软雅黑"/>
              </w:rPr>
            </w:pPr>
            <w:r>
              <w:rPr>
                <w:rFonts w:hint="eastAsia" w:ascii="微软雅黑" w:hAnsi="微软雅黑" w:eastAsia="微软雅黑" w:cs="微软雅黑"/>
                <w:b w:val="0"/>
                <w:color w:val="000000"/>
                <w:sz w:val="18"/>
              </w:rPr>
              <w:t>Scapy</w:t>
            </w:r>
          </w:p>
        </w:tc>
        <w:tc>
          <w:tcPr>
            <w:tcW w:w="2464" w:type="dxa"/>
            <w:shd w:val="clear" w:color="auto" w:fill="FFFFFF"/>
            <w:vAlign w:val="center"/>
          </w:tcPr>
          <w:p>
            <w:pPr>
              <w:jc w:val="left"/>
              <w:rPr>
                <w:rFonts w:hint="eastAsia" w:ascii="微软雅黑" w:hAnsi="微软雅黑" w:eastAsia="微软雅黑" w:cs="微软雅黑"/>
              </w:rPr>
            </w:pPr>
            <w:r>
              <w:rPr>
                <w:rFonts w:hint="eastAsia" w:ascii="微软雅黑" w:hAnsi="微软雅黑" w:eastAsia="微软雅黑" w:cs="微软雅黑"/>
                <w:b w:val="0"/>
                <w:color w:val="000000"/>
                <w:sz w:val="18"/>
              </w:rPr>
              <w:t>Python构造、发送、解析自定义报文</w:t>
            </w:r>
          </w:p>
        </w:tc>
        <w:tc>
          <w:tcPr>
            <w:tcW w:w="2464" w:type="dxa"/>
            <w:shd w:val="clear" w:color="auto" w:fill="FFFFFF"/>
            <w:vAlign w:val="center"/>
          </w:tcPr>
          <w:p>
            <w:pPr>
              <w:jc w:val="left"/>
              <w:rPr>
                <w:rFonts w:hint="eastAsia" w:ascii="微软雅黑" w:hAnsi="微软雅黑" w:eastAsia="微软雅黑" w:cs="微软雅黑"/>
              </w:rPr>
            </w:pPr>
            <w:r>
              <w:rPr>
                <w:rFonts w:hint="eastAsia" w:ascii="微软雅黑" w:hAnsi="微软雅黑" w:eastAsia="微软雅黑" w:cs="微软雅黑"/>
                <w:b w:val="0"/>
                <w:color w:val="000000"/>
                <w:sz w:val="18"/>
              </w:rPr>
              <w:t>自动化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2464" w:type="dxa"/>
            <w:shd w:val="clear" w:color="auto" w:fill="F7F9FC"/>
            <w:vAlign w:val="center"/>
          </w:tcPr>
          <w:p>
            <w:pPr>
              <w:jc w:val="center"/>
              <w:rPr>
                <w:rFonts w:hint="eastAsia" w:ascii="微软雅黑" w:hAnsi="微软雅黑" w:eastAsia="微软雅黑" w:cs="微软雅黑"/>
              </w:rPr>
            </w:pPr>
            <w:r>
              <w:rPr>
                <w:rFonts w:hint="eastAsia" w:ascii="微软雅黑" w:hAnsi="微软雅黑" w:eastAsia="微软雅黑" w:cs="微软雅黑"/>
                <w:b w:val="0"/>
                <w:color w:val="000000"/>
                <w:sz w:val="18"/>
              </w:rPr>
              <w:t>PCAP回放</w:t>
            </w:r>
          </w:p>
        </w:tc>
        <w:tc>
          <w:tcPr>
            <w:tcW w:w="2464" w:type="dxa"/>
            <w:shd w:val="clear" w:color="auto" w:fill="F7F9FC"/>
            <w:vAlign w:val="center"/>
          </w:tcPr>
          <w:p>
            <w:pPr>
              <w:jc w:val="left"/>
              <w:rPr>
                <w:rFonts w:hint="eastAsia" w:ascii="微软雅黑" w:hAnsi="微软雅黑" w:eastAsia="微软雅黑" w:cs="微软雅黑"/>
              </w:rPr>
            </w:pPr>
            <w:r>
              <w:rPr>
                <w:rFonts w:hint="eastAsia" w:ascii="微软雅黑" w:hAnsi="微软雅黑" w:eastAsia="微软雅黑" w:cs="微软雅黑"/>
                <w:b w:val="0"/>
                <w:color w:val="000000"/>
                <w:sz w:val="18"/>
              </w:rPr>
              <w:t>tcpreplay</w:t>
            </w:r>
          </w:p>
        </w:tc>
        <w:tc>
          <w:tcPr>
            <w:tcW w:w="2464" w:type="dxa"/>
            <w:shd w:val="clear" w:color="auto" w:fill="F7F9FC"/>
            <w:vAlign w:val="center"/>
          </w:tcPr>
          <w:p>
            <w:pPr>
              <w:jc w:val="left"/>
              <w:rPr>
                <w:rFonts w:hint="eastAsia" w:ascii="微软雅黑" w:hAnsi="微软雅黑" w:eastAsia="微软雅黑" w:cs="微软雅黑"/>
              </w:rPr>
            </w:pPr>
            <w:r>
              <w:rPr>
                <w:rFonts w:hint="eastAsia" w:ascii="微软雅黑" w:hAnsi="微软雅黑" w:eastAsia="微软雅黑" w:cs="微软雅黑"/>
                <w:b w:val="0"/>
                <w:color w:val="000000"/>
                <w:sz w:val="18"/>
              </w:rPr>
              <w:t>按真实或指定速率回放抓包</w:t>
            </w:r>
          </w:p>
        </w:tc>
        <w:tc>
          <w:tcPr>
            <w:tcW w:w="2464" w:type="dxa"/>
            <w:shd w:val="clear" w:color="auto" w:fill="F7F9FC"/>
            <w:vAlign w:val="center"/>
          </w:tcPr>
          <w:p>
            <w:pPr>
              <w:jc w:val="left"/>
              <w:rPr>
                <w:rFonts w:hint="eastAsia" w:ascii="微软雅黑" w:hAnsi="微软雅黑" w:eastAsia="微软雅黑" w:cs="微软雅黑"/>
              </w:rPr>
            </w:pPr>
            <w:r>
              <w:rPr>
                <w:rFonts w:hint="eastAsia" w:ascii="微软雅黑" w:hAnsi="微软雅黑" w:eastAsia="微软雅黑" w:cs="微软雅黑"/>
                <w:b w:val="0"/>
                <w:color w:val="000000"/>
                <w:sz w:val="18"/>
              </w:rPr>
              <w:t>真实性验证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2464" w:type="dxa"/>
            <w:shd w:val="clear" w:color="auto" w:fill="FFFFFF"/>
            <w:vAlign w:val="center"/>
          </w:tcPr>
          <w:p>
            <w:pPr>
              <w:jc w:val="center"/>
              <w:rPr>
                <w:rFonts w:hint="eastAsia" w:ascii="微软雅黑" w:hAnsi="微软雅黑" w:eastAsia="微软雅黑" w:cs="微软雅黑"/>
              </w:rPr>
            </w:pPr>
            <w:r>
              <w:rPr>
                <w:rFonts w:hint="eastAsia" w:ascii="微软雅黑" w:hAnsi="微软雅黑" w:eastAsia="微软雅黑" w:cs="微软雅黑"/>
                <w:b w:val="0"/>
                <w:color w:val="000000"/>
                <w:sz w:val="18"/>
              </w:rPr>
              <w:t>自动化编排</w:t>
            </w:r>
          </w:p>
        </w:tc>
        <w:tc>
          <w:tcPr>
            <w:tcW w:w="2464" w:type="dxa"/>
            <w:shd w:val="clear" w:color="auto" w:fill="FFFFFF"/>
            <w:vAlign w:val="center"/>
          </w:tcPr>
          <w:p>
            <w:pPr>
              <w:jc w:val="left"/>
              <w:rPr>
                <w:rFonts w:hint="eastAsia" w:ascii="微软雅黑" w:hAnsi="微软雅黑" w:eastAsia="微软雅黑" w:cs="微软雅黑"/>
              </w:rPr>
            </w:pPr>
            <w:r>
              <w:rPr>
                <w:rFonts w:hint="eastAsia" w:ascii="微软雅黑" w:hAnsi="微软雅黑" w:eastAsia="微软雅黑" w:cs="微软雅黑"/>
                <w:b w:val="0"/>
                <w:color w:val="000000"/>
                <w:sz w:val="18"/>
              </w:rPr>
              <w:t>Robot Framework</w:t>
            </w:r>
          </w:p>
        </w:tc>
        <w:tc>
          <w:tcPr>
            <w:tcW w:w="2464" w:type="dxa"/>
            <w:shd w:val="clear" w:color="auto" w:fill="FFFFFF"/>
            <w:vAlign w:val="center"/>
          </w:tcPr>
          <w:p>
            <w:pPr>
              <w:jc w:val="left"/>
              <w:rPr>
                <w:rFonts w:hint="eastAsia" w:ascii="微软雅黑" w:hAnsi="微软雅黑" w:eastAsia="微软雅黑" w:cs="微软雅黑"/>
              </w:rPr>
            </w:pPr>
            <w:r>
              <w:rPr>
                <w:rFonts w:hint="eastAsia" w:ascii="微软雅黑" w:hAnsi="微软雅黑" w:eastAsia="微软雅黑" w:cs="微软雅黑"/>
                <w:b w:val="0"/>
                <w:color w:val="000000"/>
                <w:sz w:val="18"/>
              </w:rPr>
              <w:t>场景执行、命令调用、结果检查</w:t>
            </w:r>
          </w:p>
        </w:tc>
        <w:tc>
          <w:tcPr>
            <w:tcW w:w="2464" w:type="dxa"/>
            <w:shd w:val="clear" w:color="auto" w:fill="FFFFFF"/>
            <w:vAlign w:val="center"/>
          </w:tcPr>
          <w:p>
            <w:pPr>
              <w:jc w:val="left"/>
              <w:rPr>
                <w:rFonts w:hint="eastAsia" w:ascii="微软雅黑" w:hAnsi="微软雅黑" w:eastAsia="微软雅黑" w:cs="微软雅黑"/>
              </w:rPr>
            </w:pPr>
            <w:r>
              <w:rPr>
                <w:rFonts w:hint="eastAsia" w:ascii="微软雅黑" w:hAnsi="微软雅黑" w:eastAsia="微软雅黑" w:cs="微软雅黑"/>
                <w:b w:val="0"/>
                <w:color w:val="000000"/>
                <w:sz w:val="18"/>
              </w:rPr>
              <w:t>回归测试</w:t>
            </w:r>
          </w:p>
        </w:tc>
      </w:tr>
    </w:tbl>
    <w:p>
      <w:pPr>
        <w:rPr>
          <w:rFonts w:hint="eastAsia" w:ascii="微软雅黑" w:hAnsi="微软雅黑" w:eastAsia="微软雅黑" w:cs="微软雅黑"/>
        </w:rPr>
      </w:pPr>
    </w:p>
    <w:p>
      <w:pPr>
        <w:pStyle w:val="4"/>
        <w:keepNext/>
        <w:rPr>
          <w:rFonts w:hint="eastAsia" w:ascii="微软雅黑" w:hAnsi="微软雅黑" w:eastAsia="微软雅黑" w:cs="微软雅黑"/>
        </w:rPr>
      </w:pPr>
      <w:r>
        <w:rPr>
          <w:rFonts w:hint="eastAsia" w:ascii="微软雅黑" w:hAnsi="微软雅黑" w:eastAsia="微软雅黑" w:cs="微软雅黑"/>
          <w:color w:val="000000"/>
        </w:rPr>
        <w:t>5.1 CAN/CANFD 首选：SocketCAN + can-utils</w:t>
      </w:r>
    </w:p>
    <w:p>
      <w:pPr>
        <w:widowControl/>
        <w:rPr>
          <w:rFonts w:hint="eastAsia" w:ascii="微软雅黑" w:hAnsi="微软雅黑" w:eastAsia="微软雅黑" w:cs="微软雅黑"/>
        </w:rPr>
      </w:pPr>
      <w:r>
        <w:t>Linux vcan用于同机或共享网络命名空间的CAN编解码和应用验证，不证明电气、仲裁或物理时序。所选真实板卡的SocketCAN或厂家SDK接入驱动必须在阶段D实现并验证，纳入同一3.6发布包。真实3.3替换阶段仅切换已验证通道配置，不新增驱动、编码或模型映射。</w:t>
      </w:r>
    </w:p>
    <w:p>
      <w:pPr>
        <w:pStyle w:val="4"/>
        <w:keepNext/>
        <w:rPr>
          <w:rFonts w:hint="eastAsia" w:ascii="微软雅黑" w:hAnsi="微软雅黑" w:eastAsia="微软雅黑" w:cs="微软雅黑"/>
        </w:rPr>
      </w:pPr>
      <w:r>
        <w:rPr>
          <w:rFonts w:hint="eastAsia" w:ascii="微软雅黑" w:hAnsi="微软雅黑" w:eastAsia="微软雅黑" w:cs="微软雅黑"/>
          <w:color w:val="000000"/>
        </w:rPr>
        <w:t>5.2 有业务含义的数据：python-can + cantools</w:t>
      </w:r>
    </w:p>
    <w:p>
      <w:pPr>
        <w:widowControl/>
        <w:rPr>
          <w:rFonts w:hint="eastAsia" w:ascii="微软雅黑" w:hAnsi="微软雅黑" w:eastAsia="微软雅黑" w:cs="微软雅黑"/>
        </w:rPr>
      </w:pPr>
      <w:r>
        <w:t>CAN工程信号依据共同冻结的DBC或已验证ARXML子集，由cantools等锁定编解码器处理，再由python-can调用选定驱动发送。项目自定义ICD需实现对应编解码器；场景JSON/YAML由调度器解释，不能直接作为协议数据库或canplayer日志。完整AUTOSAR通信栈不因支持ARXML文件读取而视为已实现，格式支持与限制须按第9.7节测试并冻结。</w:t>
      </w:r>
    </w:p>
    <w:p>
      <w:pPr>
        <w:pStyle w:val="4"/>
        <w:keepNext/>
        <w:rPr>
          <w:rFonts w:hint="eastAsia" w:ascii="微软雅黑" w:hAnsi="微软雅黑" w:eastAsia="微软雅黑" w:cs="微软雅黑"/>
        </w:rPr>
      </w:pPr>
      <w:r>
        <w:rPr>
          <w:rFonts w:hint="eastAsia" w:ascii="微软雅黑" w:hAnsi="微软雅黑" w:eastAsia="微软雅黑" w:cs="微软雅黑"/>
          <w:color w:val="000000"/>
        </w:rPr>
        <w:t>5.3 Ethernet/UDP：Ostinato + Scapy</w:t>
      </w:r>
    </w:p>
    <w:p>
      <w:pPr>
        <w:widowControl/>
        <w:rPr>
          <w:rFonts w:hint="eastAsia" w:ascii="微软雅黑" w:hAnsi="微软雅黑" w:eastAsia="微软雅黑" w:cs="微软雅黑"/>
        </w:rPr>
      </w:pPr>
      <w:r>
        <w:t>保留Ostinato与Scapy作为原有以太网发送工具。若锁定版本的编码、调度、收发与外围编排能够满足共同ICD，允许承担对应正常业务；也可用于批准的异常构包。不得仅因工具能发TCP包就认定具有完整TCP会话或应用交互。UDP socket、状态化客户端或专用协议栈属于经能力差距评估后选用的实现，不能在未确认正式传输时强制新增TCP或更换工具。tcpreplay保留条件见第9.10和9.16节。</w:t>
      </w:r>
    </w:p>
    <w:p>
      <w:pPr>
        <w:pStyle w:val="4"/>
        <w:keepNext/>
      </w:pPr>
      <w:r>
        <w:rPr>
          <w:color w:val="000000"/>
        </w:rPr>
        <w:t>5.4 最小工具组合与分级能力</w:t>
      </w:r>
    </w:p>
    <w:p>
      <w:pPr>
        <w:widowControl/>
      </w:pPr>
      <w:r>
        <w:t>第一阶段按正式ICD选定传输及消息子集，保留已满足要求的原工具。CAN复用锁定编解码器及对应驱动；以太网可使用已验证的Scapy/Ostinato工具链或正式客户端。正常业务必须具备规定的双向交互和应用证据，具体工具不预设替换。若另用UDP探索，须标明未完成正式传输验证；异常、回放和GUI工具按用例启用，不以安装工具作为接口一致证据。</w:t>
      </w:r>
    </w:p>
    <w:p>
      <w:pPr>
        <w:widowControl/>
      </w:pPr>
      <w:r>
        <w:t>软件可注入应用丢帧、重复、乱序、延迟、无效值和载荷CRC错误。CAN总线CRC、ACK、仲裁、电平故障、Bus-Off及车载以太网物理层/TSN行为须由实际控制器、专用设备和同步测量验证。虚拟错误通知只验证应用错误处理路径，不能证明真实故障已发生。</w:t>
      </w:r>
    </w:p>
    <w:p>
      <w:pPr>
        <w:pStyle w:val="4"/>
        <w:keepNext/>
      </w:pPr>
      <w:r>
        <w:rPr>
          <w:color w:val="000000"/>
        </w:rPr>
        <w:t>5.5 依赖与接口驱动约束</w:t>
      </w:r>
    </w:p>
    <w:p>
      <w:pPr>
        <w:widowControl/>
      </w:pPr>
      <w:r>
        <w:t>当前公开版本python-can要求Python≥3.9，cantools要求Python≥3.10。模拟器采用独立Python 3.12环境并生成版本锁定文件和离线安装包；首次依赖解析后记录精确版本、哈希、许可证与安装验证。目标HIL Python 3.6.9维持既定环境，接入服务若同机部署应采用兼容实现或独立受控运行时，禁止覆盖系统解释器。</w:t>
      </w:r>
    </w:p>
    <w:p>
      <w:pPr>
        <w:widowControl/>
      </w:pPr>
      <w:r>
        <w:t>选定CANFD、串口和车载以太网板卡后，供应方提交操作系统/内核兼容矩阵、API、时间戳能力、速率与通道数量证明。标准RJ45以太网只能验证IP/业务数据路径，100/1000BASE-T1需要适配的板卡或媒体转换器。宣称TSN能力前还须验证端点、交换机、时钟同步和流量调度配置。</w:t>
      </w:r>
    </w:p>
    <w:p>
      <w:pPr>
        <w:pStyle w:val="3"/>
        <w:keepNext/>
        <w:rPr>
          <w:rFonts w:hint="eastAsia" w:ascii="微软雅黑" w:hAnsi="微软雅黑" w:eastAsia="微软雅黑" w:cs="微软雅黑"/>
        </w:rPr>
      </w:pPr>
      <w:r>
        <w:rPr>
          <w:rFonts w:hint="eastAsia" w:ascii="微软雅黑" w:hAnsi="微软雅黑" w:eastAsia="微软雅黑" w:cs="微软雅黑"/>
          <w:color w:val="000000"/>
        </w:rPr>
        <w:t>6. 模拟数据与测试场景设计</w:t>
      </w:r>
    </w:p>
    <w:p>
      <w:pPr>
        <w:widowControl/>
        <w:rPr>
          <w:rFonts w:hint="eastAsia" w:ascii="微软雅黑" w:hAnsi="微软雅黑" w:eastAsia="微软雅黑" w:cs="微软雅黑"/>
        </w:rPr>
      </w:pPr>
      <w:r>
        <w:rPr>
          <w:rFonts w:hint="eastAsia" w:ascii="微软雅黑" w:hAnsi="微软雅黑" w:eastAsia="微软雅黑" w:cs="微软雅黑"/>
        </w:rPr>
        <w:t>模拟器至少应覆盖正常、边界、业务异常和通信异常四类工况，而不是只生成随机正常数据。</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86"/>
        <w:gridCol w:w="3286"/>
        <w:gridCol w:w="328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blHeader/>
          <w:cantSplit/>
        </w:trPr>
        <w:tc>
          <w:tcPr>
            <w:tcW w:w="3286" w:type="dxa"/>
            <w:shd w:val="clear" w:color="auto" w:fill="2F5597"/>
            <w:vAlign w:val="center"/>
          </w:tcPr>
          <w:p>
            <w:pPr>
              <w:keepNext/>
              <w:jc w:val="center"/>
              <w:rPr>
                <w:rFonts w:hint="eastAsia" w:ascii="微软雅黑" w:hAnsi="微软雅黑" w:eastAsia="微软雅黑" w:cs="微软雅黑"/>
              </w:rPr>
            </w:pPr>
            <w:r>
              <w:rPr>
                <w:rFonts w:hint="eastAsia" w:ascii="微软雅黑" w:hAnsi="微软雅黑" w:eastAsia="微软雅黑" w:cs="微软雅黑"/>
                <w:b/>
                <w:color w:val="FFFFFF"/>
                <w:sz w:val="18"/>
              </w:rPr>
              <w:t>场景类型</w:t>
            </w:r>
          </w:p>
        </w:tc>
        <w:tc>
          <w:tcPr>
            <w:tcW w:w="3286" w:type="dxa"/>
            <w:shd w:val="clear" w:color="auto" w:fill="2F5597"/>
            <w:vAlign w:val="center"/>
          </w:tcPr>
          <w:p>
            <w:pPr>
              <w:keepNext/>
              <w:jc w:val="center"/>
              <w:rPr>
                <w:rFonts w:hint="eastAsia" w:ascii="微软雅黑" w:hAnsi="微软雅黑" w:eastAsia="微软雅黑" w:cs="微软雅黑"/>
              </w:rPr>
            </w:pPr>
            <w:r>
              <w:rPr>
                <w:rFonts w:hint="eastAsia" w:ascii="微软雅黑" w:hAnsi="微软雅黑" w:eastAsia="微软雅黑" w:cs="微软雅黑"/>
                <w:b/>
                <w:color w:val="FFFFFF"/>
                <w:sz w:val="18"/>
              </w:rPr>
              <w:t>典型内容</w:t>
            </w:r>
          </w:p>
        </w:tc>
        <w:tc>
          <w:tcPr>
            <w:tcW w:w="3286" w:type="dxa"/>
            <w:shd w:val="clear" w:color="auto" w:fill="2F5597"/>
            <w:vAlign w:val="center"/>
          </w:tcPr>
          <w:p>
            <w:pPr>
              <w:keepNext/>
              <w:jc w:val="center"/>
              <w:rPr>
                <w:rFonts w:hint="eastAsia" w:ascii="微软雅黑" w:hAnsi="微软雅黑" w:eastAsia="微软雅黑" w:cs="微软雅黑"/>
              </w:rPr>
            </w:pPr>
            <w:r>
              <w:rPr>
                <w:rFonts w:hint="eastAsia" w:ascii="微软雅黑" w:hAnsi="微软雅黑" w:eastAsia="微软雅黑" w:cs="微软雅黑"/>
                <w:b/>
                <w:color w:val="FFFFFF"/>
                <w:sz w:val="18"/>
              </w:rPr>
              <w:t>验证目标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3286" w:type="dxa"/>
            <w:shd w:val="clear" w:color="auto" w:fill="FFFFFF"/>
            <w:vAlign w:val="center"/>
          </w:tcPr>
          <w:p>
            <w:pPr>
              <w:jc w:val="center"/>
              <w:rPr>
                <w:rFonts w:hint="eastAsia" w:ascii="微软雅黑" w:hAnsi="微软雅黑" w:eastAsia="微软雅黑" w:cs="微软雅黑"/>
              </w:rPr>
            </w:pPr>
            <w:r>
              <w:rPr>
                <w:rFonts w:hint="eastAsia" w:ascii="微软雅黑" w:hAnsi="微软雅黑" w:eastAsia="微软雅黑" w:cs="微软雅黑"/>
                <w:b w:val="0"/>
                <w:color w:val="000000"/>
                <w:sz w:val="18"/>
              </w:rPr>
              <w:t>正常工况</w:t>
            </w:r>
          </w:p>
        </w:tc>
        <w:tc>
          <w:tcPr>
            <w:tcW w:w="3286" w:type="dxa"/>
            <w:shd w:val="clear" w:color="auto" w:fill="FFFFFF"/>
            <w:vAlign w:val="center"/>
          </w:tcPr>
          <w:p>
            <w:pPr>
              <w:jc w:val="left"/>
              <w:rPr>
                <w:rFonts w:hint="eastAsia" w:ascii="微软雅黑" w:hAnsi="微软雅黑" w:eastAsia="微软雅黑" w:cs="微软雅黑"/>
              </w:rPr>
            </w:pPr>
            <w:r>
              <w:rPr>
                <w:rFonts w:hint="eastAsia" w:ascii="微软雅黑" w:hAnsi="微软雅黑" w:eastAsia="微软雅黑" w:cs="微软雅黑"/>
                <w:b w:val="0"/>
                <w:color w:val="000000"/>
                <w:sz w:val="18"/>
              </w:rPr>
              <w:t>起飞、爬升、巡航、下降、模式/任务切换</w:t>
            </w:r>
          </w:p>
        </w:tc>
        <w:tc>
          <w:tcPr>
            <w:tcW w:w="3286" w:type="dxa"/>
            <w:shd w:val="clear" w:color="auto" w:fill="FFFFFF"/>
            <w:vAlign w:val="center"/>
          </w:tcPr>
          <w:p>
            <w:pPr>
              <w:jc w:val="left"/>
              <w:rPr>
                <w:rFonts w:hint="eastAsia" w:ascii="微软雅黑" w:hAnsi="微软雅黑" w:eastAsia="微软雅黑" w:cs="微软雅黑"/>
              </w:rPr>
            </w:pPr>
            <w:r>
              <w:rPr>
                <w:rFonts w:hint="eastAsia" w:ascii="微软雅黑" w:hAnsi="微软雅黑" w:eastAsia="微软雅黑" w:cs="微软雅黑"/>
                <w:b w:val="0"/>
                <w:color w:val="000000"/>
                <w:sz w:val="18"/>
              </w:rPr>
              <w:t>正常状态机和数据处理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3286" w:type="dxa"/>
            <w:shd w:val="clear" w:color="auto" w:fill="F7F9FC"/>
            <w:vAlign w:val="center"/>
          </w:tcPr>
          <w:p>
            <w:pPr>
              <w:jc w:val="center"/>
              <w:rPr>
                <w:rFonts w:hint="eastAsia" w:ascii="微软雅黑" w:hAnsi="微软雅黑" w:eastAsia="微软雅黑" w:cs="微软雅黑"/>
              </w:rPr>
            </w:pPr>
            <w:r>
              <w:rPr>
                <w:rFonts w:hint="eastAsia" w:ascii="微软雅黑" w:hAnsi="微软雅黑" w:eastAsia="微软雅黑" w:cs="微软雅黑"/>
                <w:b w:val="0"/>
                <w:color w:val="000000"/>
                <w:sz w:val="18"/>
              </w:rPr>
              <w:t>边界工况</w:t>
            </w:r>
          </w:p>
        </w:tc>
        <w:tc>
          <w:tcPr>
            <w:tcW w:w="3286" w:type="dxa"/>
            <w:shd w:val="clear" w:color="auto" w:fill="F7F9FC"/>
            <w:vAlign w:val="center"/>
          </w:tcPr>
          <w:p>
            <w:pPr>
              <w:jc w:val="left"/>
              <w:rPr>
                <w:rFonts w:hint="eastAsia" w:ascii="微软雅黑" w:hAnsi="微软雅黑" w:eastAsia="微软雅黑" w:cs="微软雅黑"/>
              </w:rPr>
            </w:pPr>
            <w:r>
              <w:rPr>
                <w:rFonts w:hint="eastAsia" w:ascii="微软雅黑" w:hAnsi="微软雅黑" w:eastAsia="微软雅黑" w:cs="微软雅黑"/>
                <w:b w:val="0"/>
                <w:color w:val="000000"/>
                <w:sz w:val="18"/>
              </w:rPr>
              <w:t>最大/最小高度、速度、姿态角、输入频率</w:t>
            </w:r>
          </w:p>
        </w:tc>
        <w:tc>
          <w:tcPr>
            <w:tcW w:w="3286" w:type="dxa"/>
            <w:shd w:val="clear" w:color="auto" w:fill="F7F9FC"/>
            <w:vAlign w:val="center"/>
          </w:tcPr>
          <w:p>
            <w:pPr>
              <w:jc w:val="left"/>
              <w:rPr>
                <w:rFonts w:hint="eastAsia" w:ascii="微软雅黑" w:hAnsi="微软雅黑" w:eastAsia="微软雅黑" w:cs="微软雅黑"/>
              </w:rPr>
            </w:pPr>
            <w:r>
              <w:rPr>
                <w:rFonts w:hint="eastAsia" w:ascii="微软雅黑" w:hAnsi="微软雅黑" w:eastAsia="微软雅黑" w:cs="微软雅黑"/>
                <w:b w:val="0"/>
                <w:color w:val="000000"/>
                <w:sz w:val="18"/>
              </w:rPr>
              <w:t>范围检查与边界稳定性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3286" w:type="dxa"/>
            <w:shd w:val="clear" w:color="auto" w:fill="FFFFFF"/>
            <w:vAlign w:val="center"/>
          </w:tcPr>
          <w:p>
            <w:pPr>
              <w:jc w:val="center"/>
              <w:rPr>
                <w:rFonts w:hint="eastAsia" w:ascii="微软雅黑" w:hAnsi="微软雅黑" w:eastAsia="微软雅黑" w:cs="微软雅黑"/>
              </w:rPr>
            </w:pPr>
            <w:r>
              <w:rPr>
                <w:rFonts w:hint="eastAsia" w:ascii="微软雅黑" w:hAnsi="微软雅黑" w:eastAsia="微软雅黑" w:cs="微软雅黑"/>
                <w:b w:val="0"/>
                <w:color w:val="000000"/>
                <w:sz w:val="18"/>
              </w:rPr>
              <w:t>业务异常</w:t>
            </w:r>
          </w:p>
        </w:tc>
        <w:tc>
          <w:tcPr>
            <w:tcW w:w="3286" w:type="dxa"/>
            <w:shd w:val="clear" w:color="auto" w:fill="FFFFFF"/>
            <w:vAlign w:val="center"/>
          </w:tcPr>
          <w:p>
            <w:pPr>
              <w:jc w:val="left"/>
              <w:rPr>
                <w:rFonts w:hint="eastAsia" w:ascii="微软雅黑" w:hAnsi="微软雅黑" w:eastAsia="微软雅黑" w:cs="微软雅黑"/>
              </w:rPr>
            </w:pPr>
            <w:r>
              <w:rPr>
                <w:rFonts w:hint="eastAsia" w:ascii="微软雅黑" w:hAnsi="微软雅黑" w:eastAsia="微软雅黑" w:cs="微软雅黑"/>
                <w:b w:val="0"/>
                <w:color w:val="000000"/>
                <w:sz w:val="18"/>
              </w:rPr>
              <w:t>非法模式、信号越界、无效故障码、冲突指令</w:t>
            </w:r>
          </w:p>
        </w:tc>
        <w:tc>
          <w:tcPr>
            <w:tcW w:w="3286" w:type="dxa"/>
            <w:shd w:val="clear" w:color="auto" w:fill="FFFFFF"/>
            <w:vAlign w:val="center"/>
          </w:tcPr>
          <w:p>
            <w:pPr>
              <w:jc w:val="left"/>
              <w:rPr>
                <w:rFonts w:hint="eastAsia" w:ascii="微软雅黑" w:hAnsi="微软雅黑" w:eastAsia="微软雅黑" w:cs="微软雅黑"/>
              </w:rPr>
            </w:pPr>
            <w:r>
              <w:rPr>
                <w:rFonts w:hint="eastAsia" w:ascii="微软雅黑" w:hAnsi="微软雅黑" w:eastAsia="微软雅黑" w:cs="微软雅黑"/>
                <w:b w:val="0"/>
                <w:color w:val="000000"/>
                <w:sz w:val="18"/>
              </w:rPr>
              <w:t>容错和告警逻辑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3286" w:type="dxa"/>
            <w:shd w:val="clear" w:color="auto" w:fill="F7F9FC"/>
            <w:vAlign w:val="center"/>
          </w:tcPr>
          <w:p>
            <w:pPr>
              <w:jc w:val="center"/>
              <w:rPr>
                <w:rFonts w:hint="eastAsia" w:ascii="微软雅黑" w:hAnsi="微软雅黑" w:eastAsia="微软雅黑" w:cs="微软雅黑"/>
              </w:rPr>
            </w:pPr>
            <w:r>
              <w:rPr>
                <w:rFonts w:hint="eastAsia" w:ascii="微软雅黑" w:hAnsi="微软雅黑" w:eastAsia="微软雅黑" w:cs="微软雅黑"/>
                <w:b w:val="0"/>
                <w:color w:val="000000"/>
                <w:sz w:val="18"/>
              </w:rPr>
              <w:t>通信异常</w:t>
            </w:r>
          </w:p>
        </w:tc>
        <w:tc>
          <w:tcPr>
            <w:tcW w:w="3286" w:type="dxa"/>
            <w:shd w:val="clear" w:color="auto" w:fill="F7F9FC"/>
            <w:vAlign w:val="center"/>
          </w:tcPr>
          <w:p>
            <w:pPr>
              <w:jc w:val="left"/>
              <w:rPr>
                <w:rFonts w:hint="eastAsia" w:ascii="微软雅黑" w:hAnsi="微软雅黑" w:eastAsia="微软雅黑" w:cs="微软雅黑"/>
              </w:rPr>
            </w:pPr>
            <w:r>
              <w:rPr>
                <w:rFonts w:hint="eastAsia" w:ascii="微软雅黑" w:hAnsi="微软雅黑" w:eastAsia="微软雅黑" w:cs="微软雅黑"/>
                <w:b w:val="0"/>
                <w:color w:val="000000"/>
                <w:sz w:val="18"/>
              </w:rPr>
              <w:t>丢帧、重复、乱序、延迟、超时、错误CRC</w:t>
            </w:r>
          </w:p>
        </w:tc>
        <w:tc>
          <w:tcPr>
            <w:tcW w:w="3286" w:type="dxa"/>
            <w:shd w:val="clear" w:color="auto" w:fill="F7F9FC"/>
            <w:vAlign w:val="center"/>
          </w:tcPr>
          <w:p>
            <w:pPr>
              <w:jc w:val="left"/>
              <w:rPr>
                <w:rFonts w:hint="eastAsia" w:ascii="微软雅黑" w:hAnsi="微软雅黑" w:eastAsia="微软雅黑" w:cs="微软雅黑"/>
              </w:rPr>
            </w:pPr>
            <w:r>
              <w:rPr>
                <w:rFonts w:hint="eastAsia" w:ascii="微软雅黑" w:hAnsi="微软雅黑" w:eastAsia="微软雅黑" w:cs="微软雅黑"/>
                <w:b w:val="0"/>
                <w:color w:val="000000"/>
                <w:sz w:val="18"/>
              </w:rPr>
              <w:t>时序、超时和链路恢复</w:t>
            </w:r>
          </w:p>
        </w:tc>
      </w:tr>
    </w:tbl>
    <w:p>
      <w:pPr>
        <w:rPr>
          <w:rFonts w:hint="eastAsia" w:ascii="微软雅黑" w:hAnsi="微软雅黑" w:eastAsia="微软雅黑" w:cs="微软雅黑"/>
        </w:rPr>
      </w:pPr>
    </w:p>
    <w:p>
      <w:pPr>
        <w:pStyle w:val="4"/>
        <w:keepNext/>
        <w:rPr>
          <w:rFonts w:hint="eastAsia" w:ascii="微软雅黑" w:hAnsi="微软雅黑" w:eastAsia="微软雅黑" w:cs="微软雅黑"/>
        </w:rPr>
      </w:pPr>
      <w:r>
        <w:rPr>
          <w:rFonts w:hint="eastAsia" w:ascii="微软雅黑" w:hAnsi="微软雅黑" w:eastAsia="微软雅黑" w:cs="微软雅黑"/>
          <w:color w:val="000000"/>
        </w:rPr>
        <w:t>6.1 场景脚本</w:t>
      </w:r>
    </w:p>
    <w:p>
      <w:pPr>
        <w:widowControl/>
        <w:rPr>
          <w:rFonts w:hint="eastAsia" w:ascii="微软雅黑" w:hAnsi="微软雅黑" w:eastAsia="微软雅黑" w:cs="微软雅黑"/>
        </w:rPr>
      </w:pPr>
      <w:r>
        <w:t>场景脚本同时描述时间事件和反馈条件，例如启动后等待输入接收与控制源确认，再起飞、爬升、巡航、注入GPS无效并检查规定的降级行为。示例高度、速度、持续时间均应按加载模型和控制器能力设置；固定翼场景不能直接套用于多旋翼模型。GPS_LOSS必须绑定到实际传感器故障路径，不能仅发送未定义故障码。</w:t>
      </w:r>
    </w:p>
    <w:p>
      <w:pPr>
        <w:pStyle w:val="4"/>
        <w:keepNext/>
        <w:rPr>
          <w:rFonts w:hint="eastAsia" w:ascii="微软雅黑" w:hAnsi="微软雅黑" w:eastAsia="微软雅黑" w:cs="微软雅黑"/>
        </w:rPr>
      </w:pPr>
      <w:r>
        <w:rPr>
          <w:rFonts w:hint="eastAsia" w:ascii="微软雅黑" w:hAnsi="微软雅黑" w:eastAsia="微软雅黑" w:cs="微软雅黑"/>
          <w:color w:val="000000"/>
        </w:rPr>
        <w:t>6.2 优先使用真实回放数据</w:t>
      </w:r>
    </w:p>
    <w:p>
      <w:pPr>
        <w:widowControl/>
        <w:rPr>
          <w:rFonts w:hint="eastAsia" w:ascii="微软雅黑" w:hAnsi="微软雅黑" w:eastAsia="微软雅黑" w:cs="微软雅黑"/>
        </w:rPr>
      </w:pPr>
      <w:r>
        <w:rPr>
          <w:rFonts w:hint="eastAsia" w:ascii="微软雅黑" w:hAnsi="微软雅黑" w:eastAsia="微软雅黑" w:cs="微软雅黑"/>
        </w:rPr>
        <w:t>如果甲方能提供 CAN/CANFD 日志、Ethernet PCAP、历史测试数据或样例，应优先 Replay。真实回放可保留报文间隔、突发模式、字段关联和异常特征。</w:t>
      </w:r>
    </w:p>
    <w:p>
      <w:pPr>
        <w:pStyle w:val="4"/>
        <w:keepNext/>
      </w:pPr>
      <w:r>
        <w:rPr>
          <w:color w:val="000000"/>
        </w:rPr>
        <w:t>6.3 可执行用例与判定条件</w:t>
      </w:r>
    </w:p>
    <w:tbl>
      <w:tblPr>
        <w:tblW w:type="auto" w:w="0"/>
        <w:jc w:val="center"/>
        <w:tblLayout w:type="fixed"/>
        <w:tblLook w:firstColumn="1" w:firstRow="1" w:lastColumn="0" w:lastRow="0" w:noHBand="0" w:noVBand="1" w:val="04A0"/>
      </w:tblPr>
      <w:tblGrid>
        <w:gridCol w:w="1587"/>
        <w:gridCol w:w="3798"/>
        <w:gridCol w:w="4422"/>
      </w:tblGrid>
      <w:tr>
        <w:trPr>
          <w:tblHeader/>
          <w:cantSplit/>
        </w:trPr>
        <w:tc>
          <w:tcPr>
            <w:tcW w:type="dxa" w:w="1587"/>
            <w:vAlign w:val="center"/>
            <w:shd w:fill="DCE9F4"/>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spacing w:after="40" w:before="0" w:line="269" w:lineRule="auto"/>
            </w:pPr>
            <w:r>
              <w:rPr>
                <w:b/>
                <w:color w:val="000000"/>
                <w:sz w:val="19"/>
              </w:rPr>
              <w:t>用例</w:t>
            </w:r>
          </w:p>
        </w:tc>
        <w:tc>
          <w:tcPr>
            <w:tcW w:type="dxa" w:w="3798"/>
            <w:vAlign w:val="center"/>
            <w:shd w:fill="DCE9F4"/>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spacing w:after="40" w:before="0" w:line="269" w:lineRule="auto"/>
            </w:pPr>
            <w:r>
              <w:rPr>
                <w:b/>
                <w:color w:val="000000"/>
                <w:sz w:val="19"/>
              </w:rPr>
              <w:t>激励与准备</w:t>
            </w:r>
          </w:p>
        </w:tc>
        <w:tc>
          <w:tcPr>
            <w:tcW w:type="dxa" w:w="4422"/>
            <w:vAlign w:val="center"/>
            <w:shd w:fill="DCE9F4"/>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spacing w:after="40" w:before="0" w:line="269" w:lineRule="auto"/>
            </w:pPr>
            <w:r>
              <w:rPr>
                <w:b/>
                <w:color w:val="000000"/>
                <w:sz w:val="19"/>
              </w:rPr>
              <w:t>判定及证据</w:t>
            </w:r>
          </w:p>
        </w:tc>
      </w:tr>
      <w:tr>
        <w:trPr>
          <w:cantSplit/>
        </w:trPr>
        <w:tc>
          <w:tcPr>
            <w:tcW w:type="dxa" w:w="1587"/>
            <w:vAlign w:val="cente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before="0" w:line="269" w:lineRule="auto"/>
            </w:pPr>
            <w:r>
              <w:rPr>
                <w:b w:val="0"/>
                <w:color w:val="000000"/>
                <w:sz w:val="19"/>
              </w:rPr>
              <w:t>T01 合法输入</w:t>
            </w:r>
          </w:p>
        </w:tc>
        <w:tc>
          <w:tcPr>
            <w:tcW w:type="dxa" w:w="3798"/>
            <w:vAlign w:val="cente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before="0" w:line="269" w:lineRule="auto"/>
            </w:pPr>
            <w:r>
              <w:rPr>
                <w:b w:val="0"/>
                <w:color w:val="000000"/>
                <w:sz w:val="19"/>
              </w:rPr>
              <w:t>加载匹配模型/契约；发送已声明输入</w:t>
            </w:r>
          </w:p>
        </w:tc>
        <w:tc>
          <w:tcPr>
            <w:tcW w:type="dxa" w:w="4422"/>
            <w:vAlign w:val="cente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before="0" w:line="269" w:lineRule="auto"/>
            </w:pPr>
            <w:r>
              <w:rPr>
                <w:b w:val="0"/>
                <w:color w:val="000000"/>
                <w:sz w:val="19"/>
              </w:rPr>
              <w:t>收到接受与应用证据；模型响应符合该用例参考值/容差</w:t>
            </w:r>
          </w:p>
        </w:tc>
      </w:tr>
      <w:tr>
        <w:trPr>
          <w:cantSplit/>
        </w:trPr>
        <w:tc>
          <w:tcPr>
            <w:tcW w:type="dxa" w:w="1587"/>
            <w:vAlign w:val="center"/>
            <w:shd w:fill="F4F6F8"/>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before="0" w:line="269" w:lineRule="auto"/>
            </w:pPr>
            <w:r>
              <w:rPr>
                <w:b w:val="0"/>
                <w:color w:val="000000"/>
                <w:sz w:val="19"/>
              </w:rPr>
              <w:t>T02 原子拒绝</w:t>
            </w:r>
          </w:p>
        </w:tc>
        <w:tc>
          <w:tcPr>
            <w:tcW w:type="dxa" w:w="3798"/>
            <w:vAlign w:val="center"/>
            <w:shd w:fill="F4F6F8"/>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before="0" w:line="269" w:lineRule="auto"/>
            </w:pPr>
            <w:r>
              <w:rPr>
                <w:b w:val="0"/>
                <w:color w:val="000000"/>
                <w:sz w:val="19"/>
              </w:rPr>
              <w:t>同批混合合法、越界或未知字段</w:t>
            </w:r>
          </w:p>
        </w:tc>
        <w:tc>
          <w:tcPr>
            <w:tcW w:type="dxa" w:w="4422"/>
            <w:vAlign w:val="center"/>
            <w:shd w:fill="F4F6F8"/>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before="0" w:line="269" w:lineRule="auto"/>
            </w:pPr>
            <w:r>
              <w:rPr>
                <w:b w:val="0"/>
                <w:color w:val="000000"/>
                <w:sz w:val="19"/>
              </w:rPr>
              <w:t>整组拒绝；合法字段也未部分覆盖；保留输入快照</w:t>
            </w:r>
          </w:p>
        </w:tc>
      </w:tr>
      <w:tr>
        <w:trPr>
          <w:cantSplit/>
        </w:trPr>
        <w:tc>
          <w:tcPr>
            <w:tcW w:type="dxa" w:w="1587"/>
            <w:vAlign w:val="cente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before="0" w:line="269" w:lineRule="auto"/>
            </w:pPr>
            <w:r>
              <w:rPr>
                <w:b w:val="0"/>
                <w:color w:val="000000"/>
                <w:sz w:val="19"/>
              </w:rPr>
              <w:t>T03 目标闭环</w:t>
            </w:r>
          </w:p>
        </w:tc>
        <w:tc>
          <w:tcPr>
            <w:tcW w:type="dxa" w:w="3798"/>
            <w:vAlign w:val="cente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before="0" w:line="269" w:lineRule="auto"/>
            </w:pPr>
            <w:r>
              <w:rPr>
                <w:b w:val="0"/>
                <w:color w:val="000000"/>
                <w:sz w:val="19"/>
              </w:rPr>
              <w:t>选择虚拟或实体飞控；传感器有效后给目标</w:t>
            </w:r>
          </w:p>
        </w:tc>
        <w:tc>
          <w:tcPr>
            <w:tcW w:type="dxa" w:w="4422"/>
            <w:vAlign w:val="cente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before="0" w:line="269" w:lineRule="auto"/>
            </w:pPr>
            <w:r>
              <w:rPr>
                <w:b w:val="0"/>
                <w:color w:val="000000"/>
                <w:sz w:val="19"/>
              </w:rPr>
              <w:t>目标误差/稳定时间符合模型用例阈值；输出由模型解算</w:t>
            </w:r>
          </w:p>
        </w:tc>
      </w:tr>
      <w:tr>
        <w:trPr>
          <w:cantSplit/>
        </w:trPr>
        <w:tc>
          <w:tcPr>
            <w:tcW w:type="dxa" w:w="1587"/>
            <w:vAlign w:val="center"/>
            <w:shd w:fill="F4F6F8"/>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before="0" w:line="269" w:lineRule="auto"/>
            </w:pPr>
            <w:r>
              <w:rPr>
                <w:b w:val="0"/>
                <w:color w:val="000000"/>
                <w:sz w:val="19"/>
              </w:rPr>
              <w:t>T04 源冲突</w:t>
            </w:r>
          </w:p>
        </w:tc>
        <w:tc>
          <w:tcPr>
            <w:tcW w:type="dxa" w:w="3798"/>
            <w:vAlign w:val="center"/>
            <w:shd w:fill="F4F6F8"/>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before="0" w:line="269" w:lineRule="auto"/>
            </w:pPr>
            <w:r>
              <w:rPr>
                <w:b w:val="0"/>
                <w:color w:val="000000"/>
                <w:sz w:val="19"/>
              </w:rPr>
              <w:t>活动源期间尝试另一源或直接通道写入</w:t>
            </w:r>
          </w:p>
        </w:tc>
        <w:tc>
          <w:tcPr>
            <w:tcW w:type="dxa" w:w="4422"/>
            <w:vAlign w:val="center"/>
            <w:shd w:fill="F4F6F8"/>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before="0" w:line="269" w:lineRule="auto"/>
            </w:pPr>
            <w:r>
              <w:rPr>
                <w:b w:val="0"/>
                <w:color w:val="000000"/>
                <w:sz w:val="19"/>
              </w:rPr>
              <w:t>未授权源被拒绝；执行器未被覆盖；切换有完整事件</w:t>
            </w:r>
          </w:p>
        </w:tc>
      </w:tr>
      <w:tr>
        <w:trPr>
          <w:cantSplit/>
        </w:trPr>
        <w:tc>
          <w:tcPr>
            <w:tcW w:type="dxa" w:w="1587"/>
            <w:vAlign w:val="cente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before="0" w:line="269" w:lineRule="auto"/>
            </w:pPr>
            <w:r>
              <w:rPr>
                <w:b w:val="0"/>
                <w:color w:val="000000"/>
                <w:sz w:val="19"/>
              </w:rPr>
              <w:t>T05 乱序与重放</w:t>
            </w:r>
          </w:p>
        </w:tc>
        <w:tc>
          <w:tcPr>
            <w:tcW w:type="dxa" w:w="3798"/>
            <w:vAlign w:val="cente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before="0" w:line="269" w:lineRule="auto"/>
            </w:pPr>
            <w:r>
              <w:rPr>
                <w:b w:val="0"/>
                <w:color w:val="000000"/>
                <w:sz w:val="19"/>
              </w:rPr>
              <w:t>重复序号、旧会话、时间回退和过期输入</w:t>
            </w:r>
          </w:p>
        </w:tc>
        <w:tc>
          <w:tcPr>
            <w:tcW w:type="dxa" w:w="4422"/>
            <w:vAlign w:val="cente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before="0" w:line="269" w:lineRule="auto"/>
            </w:pPr>
            <w:r>
              <w:rPr>
                <w:b w:val="0"/>
                <w:color w:val="000000"/>
                <w:sz w:val="19"/>
              </w:rPr>
              <w:t>拒绝或按冻结策略处理；模型不应用陈旧指令</w:t>
            </w:r>
          </w:p>
        </w:tc>
      </w:tr>
      <w:tr>
        <w:trPr>
          <w:cantSplit/>
        </w:trPr>
        <w:tc>
          <w:tcPr>
            <w:tcW w:type="dxa" w:w="1587"/>
            <w:vAlign w:val="center"/>
            <w:shd w:fill="F4F6F8"/>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before="0" w:line="269" w:lineRule="auto"/>
            </w:pPr>
            <w:r>
              <w:rPr>
                <w:b w:val="0"/>
                <w:color w:val="000000"/>
                <w:sz w:val="19"/>
              </w:rPr>
              <w:t>T06 丢帧/延迟</w:t>
            </w:r>
          </w:p>
        </w:tc>
        <w:tc>
          <w:tcPr>
            <w:tcW w:type="dxa" w:w="3798"/>
            <w:vAlign w:val="center"/>
            <w:shd w:fill="F4F6F8"/>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before="0" w:line="269" w:lineRule="auto"/>
            </w:pPr>
            <w:r>
              <w:rPr>
                <w:b w:val="0"/>
                <w:color w:val="000000"/>
                <w:sz w:val="19"/>
              </w:rPr>
              <w:t>固定和随机延迟、突发丢帧、停止发送</w:t>
            </w:r>
          </w:p>
        </w:tc>
        <w:tc>
          <w:tcPr>
            <w:tcW w:type="dxa" w:w="4422"/>
            <w:vAlign w:val="center"/>
            <w:shd w:fill="F4F6F8"/>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before="0" w:line="269" w:lineRule="auto"/>
            </w:pPr>
            <w:r>
              <w:rPr>
                <w:b w:val="0"/>
                <w:color w:val="000000"/>
                <w:sz w:val="19"/>
              </w:rPr>
              <w:t>到期进入契约安全/降级状态；恢复需规定重新授权</w:t>
            </w:r>
          </w:p>
        </w:tc>
      </w:tr>
      <w:tr>
        <w:trPr>
          <w:cantSplit/>
        </w:trPr>
        <w:tc>
          <w:tcPr>
            <w:tcW w:type="dxa" w:w="1587"/>
            <w:vAlign w:val="cente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before="0" w:line="269" w:lineRule="auto"/>
            </w:pPr>
            <w:r>
              <w:rPr>
                <w:b w:val="0"/>
                <w:color w:val="000000"/>
                <w:sz w:val="19"/>
              </w:rPr>
              <w:t>T07 环境与扫频</w:t>
            </w:r>
          </w:p>
        </w:tc>
        <w:tc>
          <w:tcPr>
            <w:tcW w:type="dxa" w:w="3798"/>
            <w:vAlign w:val="cente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before="0" w:line="269" w:lineRule="auto"/>
            </w:pPr>
            <w:r>
              <w:rPr>
                <w:b w:val="0"/>
                <w:color w:val="000000"/>
                <w:sz w:val="19"/>
              </w:rPr>
              <w:t>风阶跃、操纵阶跃、正弦扫频，均限定范围</w:t>
            </w:r>
          </w:p>
        </w:tc>
        <w:tc>
          <w:tcPr>
            <w:tcW w:type="dxa" w:w="4422"/>
            <w:vAlign w:val="cente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before="0" w:line="269" w:lineRule="auto"/>
            </w:pPr>
            <w:r>
              <w:rPr>
                <w:b w:val="0"/>
                <w:color w:val="000000"/>
                <w:sz w:val="19"/>
              </w:rPr>
              <w:t>响应方向、峰值与频率特征符合模型参考；保护动作可见</w:t>
            </w:r>
          </w:p>
        </w:tc>
      </w:tr>
      <w:tr>
        <w:trPr>
          <w:cantSplit/>
        </w:trPr>
        <w:tc>
          <w:tcPr>
            <w:tcW w:type="dxa" w:w="1587"/>
            <w:vAlign w:val="center"/>
            <w:shd w:fill="F4F6F8"/>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before="0" w:line="269" w:lineRule="auto"/>
            </w:pPr>
            <w:r>
              <w:rPr>
                <w:b w:val="0"/>
                <w:color w:val="000000"/>
                <w:sz w:val="19"/>
              </w:rPr>
              <w:t>T08 传感器故障</w:t>
            </w:r>
          </w:p>
        </w:tc>
        <w:tc>
          <w:tcPr>
            <w:tcW w:type="dxa" w:w="3798"/>
            <w:vAlign w:val="center"/>
            <w:shd w:fill="F4F6F8"/>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before="0" w:line="269" w:lineRule="auto"/>
            </w:pPr>
            <w:r>
              <w:rPr>
                <w:b w:val="0"/>
                <w:color w:val="000000"/>
                <w:sz w:val="19"/>
              </w:rPr>
              <w:t>在传感器通路注入GPS无效或IMU陈旧</w:t>
            </w:r>
          </w:p>
        </w:tc>
        <w:tc>
          <w:tcPr>
            <w:tcW w:type="dxa" w:w="4422"/>
            <w:vAlign w:val="center"/>
            <w:shd w:fill="F4F6F8"/>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before="0" w:line="269" w:lineRule="auto"/>
            </w:pPr>
            <w:r>
              <w:rPr>
                <w:b w:val="0"/>
                <w:color w:val="000000"/>
                <w:sz w:val="19"/>
              </w:rPr>
              <w:t>飞控确实接收异常并降级；真值、故障与控制响应可关联</w:t>
            </w:r>
          </w:p>
        </w:tc>
      </w:tr>
      <w:tr>
        <w:trPr>
          <w:cantSplit/>
        </w:trPr>
        <w:tc>
          <w:tcPr>
            <w:tcW w:type="dxa" w:w="1587"/>
            <w:vAlign w:val="cente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before="0" w:line="269" w:lineRule="auto"/>
            </w:pPr>
            <w:r>
              <w:rPr>
                <w:b w:val="0"/>
                <w:color w:val="000000"/>
                <w:sz w:val="19"/>
              </w:rPr>
              <w:t>T09 暂停/重置</w:t>
            </w:r>
          </w:p>
        </w:tc>
        <w:tc>
          <w:tcPr>
            <w:tcW w:type="dxa" w:w="3798"/>
            <w:vAlign w:val="cente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before="0" w:line="269" w:lineRule="auto"/>
            </w:pPr>
            <w:r>
              <w:rPr>
                <w:b w:val="0"/>
                <w:color w:val="000000"/>
                <w:sz w:val="19"/>
              </w:rPr>
              <w:t>暂停、恢复、重置及重新开始场景</w:t>
            </w:r>
          </w:p>
        </w:tc>
        <w:tc>
          <w:tcPr>
            <w:tcW w:type="dxa" w:w="4422"/>
            <w:vAlign w:val="cente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before="0" w:line="269" w:lineRule="auto"/>
            </w:pPr>
            <w:r>
              <w:rPr>
                <w:b w:val="0"/>
                <w:color w:val="000000"/>
                <w:sz w:val="19"/>
              </w:rPr>
              <w:t>时间与会话正确重建；无旧排队指令意外执行</w:t>
            </w:r>
          </w:p>
        </w:tc>
      </w:tr>
      <w:tr>
        <w:trPr>
          <w:cantSplit/>
        </w:trPr>
        <w:tc>
          <w:tcPr>
            <w:tcW w:type="dxa" w:w="1587"/>
            <w:vAlign w:val="center"/>
            <w:shd w:fill="F4F6F8"/>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before="0" w:after="40" w:line="269" w:lineRule="auto"/>
            </w:pPr>
            <w:r>
              <w:rPr>
                <w:rFonts w:ascii="Microsoft YaHei" w:hAnsi="Microsoft YaHei"/>
                <w:color w:val="000000"/>
                <w:sz w:val="19"/>
              </w:rPr>
              <w:t>T10 数据回放</w:t>
            </w:r>
          </w:p>
        </w:tc>
        <w:tc>
          <w:tcPr>
            <w:tcW w:type="dxa" w:w="3798"/>
            <w:vAlign w:val="center"/>
            <w:shd w:fill="F4F6F8"/>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before="0" w:after="40" w:line="269" w:lineRule="auto"/>
            </w:pPr>
            <w:r>
              <w:rPr>
                <w:rFonts w:ascii="Microsoft YaHei" w:hAnsi="Microsoft YaHei"/>
                <w:color w:val="000000"/>
                <w:sz w:val="19"/>
              </w:rPr>
              <w:t>执行L06；分别处理CAN日志、UDP/TCP记录与新会话</w:t>
            </w:r>
          </w:p>
        </w:tc>
        <w:tc>
          <w:tcPr>
            <w:tcW w:type="dxa" w:w="4422"/>
            <w:vAlign w:val="center"/>
            <w:shd w:fill="F4F6F8"/>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before="0" w:after="40" w:line="269" w:lineRule="auto"/>
            </w:pPr>
            <w:r>
              <w:rPr>
                <w:rFonts w:ascii="Microsoft YaHei" w:hAnsi="Microsoft YaHei"/>
                <w:color w:val="000000"/>
                <w:sz w:val="19"/>
              </w:rPr>
              <w:t>相对时序与事件可复现；重建差异可追溯；旧反馈不回灌；同入口应用证据完整</w:t>
            </w:r>
          </w:p>
        </w:tc>
      </w:tr>
      <w:tr>
        <w:trPr>
          <w:cantSplit/>
        </w:trPr>
        <w:tc>
          <w:tcPr>
            <w:tcW w:type="dxa" w:w="1587"/>
            <w:vAlign w:val="cente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before="0" w:line="269" w:lineRule="auto"/>
            </w:pPr>
            <w:r>
              <w:rPr>
                <w:b w:val="0"/>
                <w:color w:val="000000"/>
                <w:sz w:val="19"/>
              </w:rPr>
              <w:t>T11 视频同步</w:t>
            </w:r>
          </w:p>
        </w:tc>
        <w:tc>
          <w:tcPr>
            <w:tcW w:type="dxa" w:w="3798"/>
            <w:vAlign w:val="cente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before="0" w:line="269" w:lineRule="auto"/>
            </w:pPr>
            <w:r>
              <w:rPr>
                <w:b w:val="0"/>
                <w:color w:val="000000"/>
                <w:sz w:val="19"/>
              </w:rPr>
              <w:t>加载标注视频；手动/周期/仿真事件触发</w:t>
            </w:r>
          </w:p>
        </w:tc>
        <w:tc>
          <w:tcPr>
            <w:tcW w:type="dxa" w:w="4422"/>
            <w:vAlign w:val="cente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before="0" w:line="269" w:lineRule="auto"/>
            </w:pPr>
            <w:r>
              <w:rPr>
                <w:b w:val="0"/>
                <w:color w:val="000000"/>
                <w:sz w:val="19"/>
              </w:rPr>
              <w:t>记录帧号、PTS、仿真时刻和接收/完成；丢帧有明确事件</w:t>
            </w:r>
          </w:p>
        </w:tc>
      </w:tr>
      <w:tr>
        <w:trPr>
          <w:cantSplit/>
        </w:trPr>
        <w:tc>
          <w:tcPr>
            <w:tcW w:type="dxa" w:w="1587"/>
            <w:vAlign w:val="center"/>
            <w:shd w:fill="F4F6F8"/>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before="0" w:after="40" w:line="269" w:lineRule="auto"/>
            </w:pPr>
            <w:r>
              <w:rPr>
                <w:rFonts w:ascii="Microsoft YaHei" w:hAnsi="Microsoft YaHei"/>
                <w:color w:val="000000"/>
                <w:sz w:val="19"/>
              </w:rPr>
              <w:t>T12 多接口负载</w:t>
            </w:r>
          </w:p>
        </w:tc>
        <w:tc>
          <w:tcPr>
            <w:tcW w:type="dxa" w:w="3798"/>
            <w:vAlign w:val="center"/>
            <w:shd w:fill="F4F6F8"/>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before="0" w:after="40" w:line="269" w:lineRule="auto"/>
            </w:pPr>
            <w:r>
              <w:rPr>
                <w:rFonts w:ascii="Microsoft YaHei" w:hAnsi="Microsoft YaHei"/>
                <w:color w:val="000000"/>
                <w:sz w:val="19"/>
              </w:rPr>
              <w:t>执行L05/L09；按正式通道并发、队列/空间边界与监控</w:t>
            </w:r>
          </w:p>
        </w:tc>
        <w:tc>
          <w:tcPr>
            <w:tcW w:type="dxa" w:w="4422"/>
            <w:vAlign w:val="center"/>
            <w:shd w:fill="F4F6F8"/>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before="0" w:after="40" w:line="269" w:lineRule="auto"/>
            </w:pPr>
            <w:r>
              <w:rPr>
                <w:rFonts w:ascii="Microsoft YaHei" w:hAnsi="Microsoft YaHei"/>
                <w:color w:val="000000"/>
                <w:sz w:val="19"/>
              </w:rPr>
              <w:t>无串台/无界增长；同步与安全策略通过；记录接收/应用、丢弃和调度超差</w:t>
            </w:r>
          </w:p>
        </w:tc>
      </w:tr>
      <w:tr>
        <w:trPr>
          <w:cantSplit/>
        </w:trPr>
        <w:tc>
          <w:tcPr>
            <w:tcW w:type="dxa" w:w="1587"/>
            <w:vAlign w:val="cente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before="0" w:line="269" w:lineRule="auto"/>
            </w:pPr>
            <w:r>
              <w:rPr>
                <w:b w:val="0"/>
                <w:color w:val="000000"/>
                <w:sz w:val="19"/>
              </w:rPr>
              <w:t>T13 实物I/O</w:t>
            </w:r>
          </w:p>
        </w:tc>
        <w:tc>
          <w:tcPr>
            <w:tcW w:type="dxa" w:w="3798"/>
            <w:vAlign w:val="cente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before="0" w:line="269" w:lineRule="auto"/>
            </w:pPr>
            <w:r>
              <w:rPr>
                <w:b w:val="0"/>
                <w:color w:val="000000"/>
                <w:sz w:val="19"/>
              </w:rPr>
              <w:t>接真实CAN/串口/AD/DA/IO与测量设备</w:t>
            </w:r>
          </w:p>
        </w:tc>
        <w:tc>
          <w:tcPr>
            <w:tcW w:type="dxa" w:w="4422"/>
            <w:vAlign w:val="cente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before="0" w:line="269" w:lineRule="auto"/>
            </w:pPr>
            <w:r>
              <w:rPr>
                <w:b w:val="0"/>
                <w:color w:val="000000"/>
                <w:sz w:val="19"/>
              </w:rPr>
              <w:t>按标书接口规格和冻结接线表逐通道测量，单独签署结果</w:t>
            </w:r>
          </w:p>
        </w:tc>
      </w:tr>
      <w:tr>
        <w:trPr>
          <w:cantSplit/>
        </w:trPr>
        <w:tc>
          <w:tcPr>
            <w:tcW w:type="dxa" w:w="1587"/>
            <w:vAlign w:val="center"/>
            <w:shd w:fill="F4F6F8"/>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before="0" w:after="40" w:line="269" w:lineRule="auto"/>
            </w:pPr>
            <w:r>
              <w:rPr>
                <w:rFonts w:ascii="Microsoft YaHei" w:hAnsi="Microsoft YaHei"/>
                <w:color w:val="000000"/>
                <w:sz w:val="19"/>
              </w:rPr>
              <w:t>T14 真实3.3回归</w:t>
            </w:r>
          </w:p>
        </w:tc>
        <w:tc>
          <w:tcPr>
            <w:tcW w:type="dxa" w:w="3798"/>
            <w:vAlign w:val="center"/>
            <w:shd w:fill="F4F6F8"/>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before="0" w:after="40" w:line="269" w:lineRule="auto"/>
            </w:pPr>
            <w:r>
              <w:rPr>
                <w:rFonts w:ascii="Microsoft YaHei" w:hAnsi="Microsoft YaHei"/>
                <w:color w:val="000000"/>
                <w:sz w:val="19"/>
              </w:rPr>
              <w:t>同版ICD、L/T套件及全部必选链路；同一发布包；仅白名单切换</w:t>
            </w:r>
          </w:p>
        </w:tc>
        <w:tc>
          <w:tcPr>
            <w:tcW w:type="dxa" w:w="4422"/>
            <w:vAlign w:val="center"/>
            <w:shd w:fill="F4F6F8"/>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before="0" w:after="40" w:line="269" w:lineRule="auto"/>
            </w:pPr>
            <w:r>
              <w:rPr>
                <w:rFonts w:ascii="Microsoft YaHei" w:hAnsi="Microsoft YaHei"/>
                <w:color w:val="000000"/>
                <w:sz w:val="19"/>
              </w:rPr>
              <w:t>L10及全部必选用例通过；接收/应用/响应证据完整；阈值符合；保护文件哈希不变</w:t>
            </w:r>
          </w:p>
        </w:tc>
      </w:tr>
    </w:tbl>
    <w:p/>
    <w:p>
      <w:pPr>
        <w:widowControl/>
      </w:pPr>
      <w:r>
        <w:t>用例文件必须给出前置条件、模型与场景版本、激励、反馈字段、判定表达式、容差、超时和清理动作。未定义模型参考值的用例不能判定“动力学正确”；可以先判定接口接收、事件和安全动作。随机场景固定种子并同时保留生成后的原始输入。</w:t>
      </w:r>
    </w:p>
    <w:p>
      <w:pPr>
        <w:pStyle w:val="3"/>
        <w:keepNext/>
        <w:rPr>
          <w:rFonts w:hint="eastAsia" w:ascii="微软雅黑" w:hAnsi="微软雅黑" w:eastAsia="微软雅黑" w:cs="微软雅黑"/>
        </w:rPr>
      </w:pPr>
      <w:r>
        <w:rPr>
          <w:rFonts w:hint="eastAsia" w:ascii="微软雅黑" w:hAnsi="微软雅黑" w:eastAsia="微软雅黑" w:cs="微软雅黑"/>
          <w:color w:val="000000"/>
        </w:rPr>
        <w:t>7. 轻量级 3.3 Mock Server 设计</w:t>
      </w:r>
    </w:p>
    <w:p>
      <w:pPr>
        <w:widowControl/>
        <w:rPr>
          <w:rFonts w:hint="eastAsia" w:ascii="微软雅黑" w:hAnsi="微软雅黑" w:eastAsia="微软雅黑" w:cs="微软雅黑"/>
        </w:rPr>
      </w:pPr>
      <w:r>
        <w:t>开发阶段实现模拟器和3.6正式标准接入：前者按同一ICD组织原工具生成输入、采集反馈、判定、记录及回放，后者统一接入模拟器与真实3.3。3.6接入代码在替换前冻结，不为真实源新增解析器或旁路。命令行工具可用于基础检查或批准的正式激励，但不能以单次工具调用代替完整场景、应用证据与反馈验收。</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29"/>
        <w:gridCol w:w="492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blHeader/>
          <w:cantSplit/>
        </w:trPr>
        <w:tc>
          <w:tcPr>
            <w:tcW w:w="4929" w:type="dxa"/>
            <w:shd w:val="clear" w:color="auto" w:fill="2F5597"/>
            <w:vAlign w:val="center"/>
          </w:tcPr>
          <w:p>
            <w:pPr>
              <w:keepNext/>
              <w:jc w:val="center"/>
              <w:rPr>
                <w:rFonts w:hint="eastAsia" w:ascii="微软雅黑" w:hAnsi="微软雅黑" w:eastAsia="微软雅黑" w:cs="微软雅黑"/>
              </w:rPr>
            </w:pPr>
            <w:r>
              <w:rPr>
                <w:rFonts w:hint="eastAsia" w:ascii="微软雅黑" w:hAnsi="微软雅黑" w:eastAsia="微软雅黑" w:cs="微软雅黑"/>
                <w:b/>
                <w:color w:val="FFFFFF"/>
                <w:sz w:val="18"/>
              </w:rPr>
              <w:t>功能区</w:t>
            </w:r>
          </w:p>
        </w:tc>
        <w:tc>
          <w:tcPr>
            <w:tcW w:w="4929" w:type="dxa"/>
            <w:shd w:val="clear" w:color="auto" w:fill="2F5597"/>
            <w:vAlign w:val="center"/>
          </w:tcPr>
          <w:p>
            <w:pPr>
              <w:keepNext/>
              <w:jc w:val="center"/>
              <w:rPr>
                <w:rFonts w:hint="eastAsia" w:ascii="微软雅黑" w:hAnsi="微软雅黑" w:eastAsia="微软雅黑" w:cs="微软雅黑"/>
              </w:rPr>
            </w:pPr>
            <w:r>
              <w:rPr>
                <w:rFonts w:hint="eastAsia" w:ascii="微软雅黑" w:hAnsi="微软雅黑" w:eastAsia="微软雅黑" w:cs="微软雅黑"/>
                <w:b/>
                <w:color w:val="FFFFFF"/>
                <w:sz w:val="18"/>
              </w:rPr>
              <w:t>主要功能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4929" w:type="dxa"/>
            <w:shd w:val="clear" w:color="auto" w:fill="FFFFFF"/>
            <w:vAlign w:val="center"/>
          </w:tcPr>
          <w:p>
            <w:pPr>
              <w:jc w:val="center"/>
              <w:rPr>
                <w:rFonts w:hint="eastAsia" w:ascii="微软雅黑" w:hAnsi="微软雅黑" w:eastAsia="微软雅黑" w:cs="微软雅黑"/>
              </w:rPr>
            </w:pPr>
            <w:r>
              <w:rPr>
                <w:rFonts w:hint="eastAsia" w:ascii="微软雅黑" w:hAnsi="微软雅黑" w:eastAsia="微软雅黑" w:cs="微软雅黑"/>
                <w:b w:val="0"/>
                <w:color w:val="000000"/>
                <w:sz w:val="18"/>
              </w:rPr>
              <w:t>ICD/协议配置</w:t>
            </w:r>
          </w:p>
        </w:tc>
        <w:tc>
          <w:tcPr>
            <w:tcW w:w="4929" w:type="dxa"/>
            <w:shd w:val="clear" w:color="auto" w:fill="FFFFFF"/>
            <w:vAlign w:val="center"/>
          </w:tcPr>
          <w:p>
            <w:pPr>
              <w:jc w:val="left"/>
              <w:rPr>
                <w:rFonts w:hint="eastAsia" w:ascii="微软雅黑" w:hAnsi="微软雅黑" w:eastAsia="微软雅黑" w:cs="微软雅黑"/>
              </w:rPr>
            </w:pPr>
            <w:r>
              <w:rPr>
                <w:rFonts w:hint="eastAsia" w:ascii="微软雅黑" w:hAnsi="微软雅黑" w:eastAsia="微软雅黑" w:cs="微软雅黑"/>
                <w:b w:val="0"/>
                <w:color w:val="000000"/>
                <w:sz w:val="18"/>
              </w:rPr>
              <w:t>加载DBC/JSON/YAML；选择CAN/CANFD/UDP/Ethernet；配置周期和端口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4929" w:type="dxa"/>
            <w:shd w:val="clear" w:color="auto" w:fill="F7F9FC"/>
            <w:vAlign w:val="center"/>
          </w:tcPr>
          <w:p>
            <w:pPr>
              <w:jc w:val="center"/>
              <w:rPr>
                <w:rFonts w:hint="eastAsia" w:ascii="微软雅黑" w:hAnsi="微软雅黑" w:eastAsia="微软雅黑" w:cs="微软雅黑"/>
              </w:rPr>
            </w:pPr>
            <w:r>
              <w:rPr>
                <w:rFonts w:hint="eastAsia" w:ascii="微软雅黑" w:hAnsi="微软雅黑" w:eastAsia="微软雅黑" w:cs="微软雅黑"/>
                <w:b w:val="0"/>
                <w:color w:val="000000"/>
                <w:sz w:val="18"/>
              </w:rPr>
              <w:t>场景库</w:t>
            </w:r>
          </w:p>
        </w:tc>
        <w:tc>
          <w:tcPr>
            <w:tcW w:w="4929" w:type="dxa"/>
            <w:shd w:val="clear" w:color="auto" w:fill="F7F9FC"/>
            <w:vAlign w:val="center"/>
          </w:tcPr>
          <w:p>
            <w:pPr>
              <w:jc w:val="left"/>
              <w:rPr>
                <w:rFonts w:hint="eastAsia" w:ascii="微软雅黑" w:hAnsi="微软雅黑" w:eastAsia="微软雅黑" w:cs="微软雅黑"/>
              </w:rPr>
            </w:pPr>
            <w:r>
              <w:rPr>
                <w:rFonts w:hint="eastAsia" w:ascii="微软雅黑" w:hAnsi="微软雅黑" w:eastAsia="微软雅黑" w:cs="微软雅黑"/>
                <w:b w:val="0"/>
                <w:color w:val="000000"/>
                <w:sz w:val="18"/>
              </w:rPr>
              <w:t>正常/边界/故障场景；脚本导入、复制、版本标识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4929" w:type="dxa"/>
            <w:shd w:val="clear" w:color="auto" w:fill="FFFFFF"/>
            <w:vAlign w:val="center"/>
          </w:tcPr>
          <w:p>
            <w:pPr>
              <w:jc w:val="center"/>
              <w:rPr>
                <w:rFonts w:hint="eastAsia" w:ascii="微软雅黑" w:hAnsi="微软雅黑" w:eastAsia="微软雅黑" w:cs="微软雅黑"/>
              </w:rPr>
            </w:pPr>
            <w:r>
              <w:rPr>
                <w:rFonts w:hint="eastAsia" w:ascii="微软雅黑" w:hAnsi="微软雅黑" w:eastAsia="微软雅黑" w:cs="微软雅黑"/>
                <w:b w:val="0"/>
                <w:color w:val="000000"/>
                <w:sz w:val="18"/>
              </w:rPr>
              <w:t>参数编辑</w:t>
            </w:r>
          </w:p>
        </w:tc>
        <w:tc>
          <w:tcPr>
            <w:tcW w:w="4929" w:type="dxa"/>
            <w:shd w:val="clear" w:color="auto" w:fill="FFFFFF"/>
            <w:vAlign w:val="center"/>
          </w:tcPr>
          <w:p>
            <w:pPr>
              <w:jc w:val="left"/>
              <w:rPr>
                <w:rFonts w:hint="eastAsia" w:ascii="微软雅黑" w:hAnsi="微软雅黑" w:eastAsia="微软雅黑" w:cs="微软雅黑"/>
              </w:rPr>
            </w:pPr>
            <w:r>
              <w:rPr>
                <w:rFonts w:hint="eastAsia" w:ascii="微软雅黑" w:hAnsi="微软雅黑" w:eastAsia="微软雅黑" w:cs="微软雅黑"/>
                <w:b w:val="0"/>
                <w:color w:val="000000"/>
                <w:sz w:val="18"/>
              </w:rPr>
              <w:t>Altitude、Speed、Heading、Mode、Fault 等实时修改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4929" w:type="dxa"/>
            <w:shd w:val="clear" w:color="auto" w:fill="F7F9FC"/>
            <w:vAlign w:val="center"/>
          </w:tcPr>
          <w:p>
            <w:pPr>
              <w:jc w:val="center"/>
              <w:rPr>
                <w:rFonts w:hint="eastAsia" w:ascii="微软雅黑" w:hAnsi="微软雅黑" w:eastAsia="微软雅黑" w:cs="微软雅黑"/>
              </w:rPr>
            </w:pPr>
            <w:r>
              <w:rPr>
                <w:rFonts w:hint="eastAsia" w:ascii="微软雅黑" w:hAnsi="微软雅黑" w:eastAsia="微软雅黑" w:cs="微软雅黑"/>
                <w:b w:val="0"/>
                <w:color w:val="000000"/>
                <w:sz w:val="18"/>
              </w:rPr>
              <w:t>发送控制</w:t>
            </w:r>
          </w:p>
        </w:tc>
        <w:tc>
          <w:tcPr>
            <w:tcW w:w="4929" w:type="dxa"/>
            <w:shd w:val="clear" w:color="auto" w:fill="F7F9FC"/>
            <w:vAlign w:val="center"/>
          </w:tcPr>
          <w:p>
            <w:pPr>
              <w:jc w:val="left"/>
              <w:rPr>
                <w:rFonts w:hint="eastAsia" w:ascii="微软雅黑" w:hAnsi="微软雅黑" w:eastAsia="微软雅黑" w:cs="微软雅黑"/>
              </w:rPr>
            </w:pPr>
            <w:r>
              <w:rPr>
                <w:rFonts w:hint="eastAsia" w:ascii="微软雅黑" w:hAnsi="微软雅黑" w:eastAsia="微软雅黑" w:cs="微软雅黑"/>
                <w:b w:val="0"/>
                <w:color w:val="000000"/>
                <w:sz w:val="18"/>
              </w:rPr>
              <w:t>Start/Stop/Pause/Step/Replay；发送速率和时间缩放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4929" w:type="dxa"/>
            <w:shd w:val="clear" w:color="auto" w:fill="FFFFFF"/>
            <w:vAlign w:val="center"/>
          </w:tcPr>
          <w:p>
            <w:pPr>
              <w:jc w:val="center"/>
              <w:rPr>
                <w:rFonts w:hint="eastAsia" w:ascii="微软雅黑" w:hAnsi="微软雅黑" w:eastAsia="微软雅黑" w:cs="微软雅黑"/>
              </w:rPr>
            </w:pPr>
            <w:r>
              <w:rPr>
                <w:rFonts w:hint="eastAsia" w:ascii="微软雅黑" w:hAnsi="微软雅黑" w:eastAsia="微软雅黑" w:cs="微软雅黑"/>
                <w:b w:val="0"/>
                <w:color w:val="000000"/>
                <w:sz w:val="18"/>
              </w:rPr>
              <w:t>异常注入</w:t>
            </w:r>
          </w:p>
        </w:tc>
        <w:tc>
          <w:tcPr>
            <w:tcW w:w="4929" w:type="dxa"/>
            <w:shd w:val="clear" w:color="auto" w:fill="FFFFFF"/>
            <w:vAlign w:val="center"/>
          </w:tcPr>
          <w:p>
            <w:pPr>
              <w:jc w:val="left"/>
              <w:rPr>
                <w:rFonts w:hint="eastAsia" w:ascii="微软雅黑" w:hAnsi="微软雅黑" w:eastAsia="微软雅黑" w:cs="微软雅黑"/>
              </w:rPr>
            </w:pPr>
            <w:r>
              <w:rPr>
                <w:rFonts w:hint="eastAsia" w:ascii="微软雅黑" w:hAnsi="微软雅黑" w:eastAsia="微软雅黑" w:cs="微软雅黑"/>
                <w:b w:val="0"/>
                <w:color w:val="000000"/>
                <w:sz w:val="18"/>
              </w:rPr>
              <w:t>丢帧、延迟、乱序、CRC错误、非法值、超时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4929" w:type="dxa"/>
            <w:shd w:val="clear" w:color="auto" w:fill="F7F9FC"/>
            <w:vAlign w:val="center"/>
          </w:tcPr>
          <w:p>
            <w:pPr>
              <w:jc w:val="center"/>
              <w:rPr>
                <w:rFonts w:hint="eastAsia" w:ascii="微软雅黑" w:hAnsi="微软雅黑" w:eastAsia="微软雅黑" w:cs="微软雅黑"/>
              </w:rPr>
            </w:pPr>
            <w:r>
              <w:rPr>
                <w:rFonts w:hint="eastAsia" w:ascii="微软雅黑" w:hAnsi="微软雅黑" w:eastAsia="微软雅黑" w:cs="微软雅黑"/>
                <w:b w:val="0"/>
                <w:color w:val="000000"/>
                <w:sz w:val="18"/>
              </w:rPr>
              <w:t>监控日志</w:t>
            </w:r>
          </w:p>
        </w:tc>
        <w:tc>
          <w:tcPr>
            <w:tcW w:w="4929" w:type="dxa"/>
            <w:shd w:val="clear" w:color="auto" w:fill="F7F9FC"/>
            <w:vAlign w:val="center"/>
          </w:tcPr>
          <w:p>
            <w:pPr>
              <w:jc w:val="left"/>
              <w:rPr>
                <w:rFonts w:hint="eastAsia" w:ascii="微软雅黑" w:hAnsi="微软雅黑" w:eastAsia="微软雅黑" w:cs="微软雅黑"/>
              </w:rPr>
            </w:pPr>
            <w:r>
              <w:rPr>
                <w:rFonts w:hint="eastAsia" w:ascii="微软雅黑" w:hAnsi="微软雅黑" w:eastAsia="微软雅黑" w:cs="微软雅黑"/>
                <w:b w:val="0"/>
                <w:color w:val="000000"/>
                <w:sz w:val="18"/>
              </w:rPr>
              <w:t>TX/RX计数、周期、错误统计、报文明细、日志导出</w:t>
            </w:r>
          </w:p>
        </w:tc>
      </w:tr>
    </w:tbl>
    <w:p>
      <w:pPr>
        <w:rPr>
          <w:rFonts w:hint="eastAsia" w:ascii="微软雅黑" w:hAnsi="微软雅黑" w:eastAsia="微软雅黑" w:cs="微软雅黑"/>
        </w:rPr>
      </w:pP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5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858" w:type="dxa"/>
            <w:shd w:val="clear" w:color="auto" w:fill="EAF2F8"/>
          </w:tcPr>
          <w:p>
            <w:pPr>
              <w:spacing w:after="40" w:line="269" w:lineRule="auto"/>
            </w:pPr>
            <w:r>
              <w:rPr>
                <w:rFonts w:ascii="Microsoft YaHei" w:hAnsi="Microsoft YaHei"/>
                <w:color w:val="000000"/>
                <w:sz w:val="19"/>
              </w:rPr>
              <w:t>实现原则：优先保留已满足正式ICD的原工具及其分支。统一调度负责资源、授权、启动停止与记录，不强制汇聚转发全部报文。Socket客户端、状态化协议栈及重建器仅在现有工具链存在已证明能力缺口时选用；3.6标准接口和冻结业务路径不因发送工具不同而改变。</w:t>
            </w:r>
          </w:p>
        </w:tc>
      </w:tr>
    </w:tbl>
    <w:p>
      <w:pPr>
        <w:rPr>
          <w:rFonts w:hint="eastAsia" w:ascii="微软雅黑" w:hAnsi="微软雅黑" w:eastAsia="微软雅黑" w:cs="微软雅黑"/>
        </w:rPr>
      </w:pPr>
    </w:p>
    <w:p>
      <w:pPr>
        <w:pStyle w:val="4"/>
        <w:keepNext/>
      </w:pPr>
      <w:r>
        <w:rPr>
          <w:color w:val="000000"/>
        </w:rPr>
        <w:t>7.1 必做模块与接口</w:t>
      </w:r>
    </w:p>
    <w:tbl>
      <w:tblPr>
        <w:tblW w:type="auto" w:w="0"/>
        <w:jc w:val="center"/>
        <w:tblLayout w:type="fixed"/>
        <w:tblLook w:firstColumn="1" w:firstRow="1" w:lastColumn="0" w:lastRow="0" w:noHBand="0" w:noVBand="1" w:val="04A0"/>
      </w:tblPr>
      <w:tblGrid>
        <w:gridCol w:w="1814"/>
        <w:gridCol w:w="4762"/>
        <w:gridCol w:w="3231"/>
      </w:tblGrid>
      <w:tr>
        <w:trPr>
          <w:tblHeader/>
          <w:cantSplit/>
        </w:trPr>
        <w:tc>
          <w:tcPr>
            <w:tcW w:type="dxa" w:w="1814"/>
            <w:vAlign w:val="center"/>
            <w:shd w:fill="DCE9F4"/>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spacing w:after="40" w:before="0" w:line="269" w:lineRule="auto"/>
            </w:pPr>
            <w:r>
              <w:rPr>
                <w:b/>
                <w:color w:val="000000"/>
                <w:sz w:val="19"/>
              </w:rPr>
              <w:t>模块</w:t>
            </w:r>
          </w:p>
        </w:tc>
        <w:tc>
          <w:tcPr>
            <w:tcW w:type="dxa" w:w="4762"/>
            <w:vAlign w:val="center"/>
            <w:shd w:fill="DCE9F4"/>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spacing w:after="40" w:before="0" w:line="269" w:lineRule="auto"/>
            </w:pPr>
            <w:r>
              <w:rPr>
                <w:b/>
                <w:color w:val="000000"/>
                <w:sz w:val="19"/>
              </w:rPr>
              <w:t>职责</w:t>
            </w:r>
          </w:p>
        </w:tc>
        <w:tc>
          <w:tcPr>
            <w:tcW w:type="dxa" w:w="3231"/>
            <w:vAlign w:val="center"/>
            <w:shd w:fill="DCE9F4"/>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spacing w:after="40" w:before="0" w:line="269" w:lineRule="auto"/>
            </w:pPr>
            <w:r>
              <w:rPr>
                <w:b/>
                <w:color w:val="000000"/>
                <w:sz w:val="19"/>
              </w:rPr>
              <w:t>输出</w:t>
            </w:r>
          </w:p>
        </w:tc>
      </w:tr>
      <w:tr>
        <w:trPr>
          <w:cantSplit/>
        </w:trPr>
        <w:tc>
          <w:tcPr>
            <w:tcW w:type="dxa" w:w="1814"/>
            <w:vAlign w:val="cente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line="269" w:lineRule="auto"/>
            </w:pPr>
            <w:r>
              <w:rPr>
                <w:rFonts w:ascii="Microsoft YaHei" w:hAnsi="Microsoft YaHei"/>
                <w:color w:val="000000"/>
                <w:sz w:val="19"/>
              </w:rPr>
              <w:t>场景调度器</w:t>
            </w:r>
          </w:p>
        </w:tc>
        <w:tc>
          <w:tcPr>
            <w:tcW w:type="dxa" w:w="4762"/>
            <w:vAlign w:val="cente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line="269" w:lineRule="auto"/>
            </w:pPr>
            <w:r>
              <w:rPr>
                <w:rFonts w:ascii="Microsoft YaHei" w:hAnsi="Microsoft YaHei"/>
                <w:color w:val="000000"/>
                <w:sz w:val="19"/>
              </w:rPr>
              <w:t>资源校验、事件/反馈条件与原工具调用授权</w:t>
            </w:r>
          </w:p>
        </w:tc>
        <w:tc>
          <w:tcPr>
            <w:tcW w:type="dxa" w:w="3231"/>
            <w:vAlign w:val="cente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line="269" w:lineRule="auto"/>
            </w:pPr>
            <w:r>
              <w:rPr>
                <w:rFonts w:ascii="Microsoft YaHei" w:hAnsi="Microsoft YaHei"/>
                <w:color w:val="000000"/>
                <w:sz w:val="19"/>
              </w:rPr>
              <w:t>计划、工具配置、启停与证据；不是强制字节汇聚器</w:t>
            </w:r>
          </w:p>
        </w:tc>
      </w:tr>
      <w:tr>
        <w:trPr>
          <w:cantSplit/>
        </w:trPr>
        <w:tc>
          <w:tcPr>
            <w:tcW w:type="dxa" w:w="1814"/>
            <w:vAlign w:val="center"/>
            <w:shd w:fill="F4F6F8"/>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before="0" w:after="40" w:line="269" w:lineRule="auto"/>
            </w:pPr>
            <w:r>
              <w:rPr>
                <w:rFonts w:ascii="Microsoft YaHei" w:hAnsi="Microsoft YaHei"/>
                <w:color w:val="000000"/>
                <w:sz w:val="19"/>
              </w:rPr>
              <w:t>ICD编解码器</w:t>
            </w:r>
          </w:p>
        </w:tc>
        <w:tc>
          <w:tcPr>
            <w:tcW w:type="dxa" w:w="4762"/>
            <w:vAlign w:val="center"/>
            <w:shd w:fill="F4F6F8"/>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before="0" w:after="40" w:line="269" w:lineRule="auto"/>
            </w:pPr>
            <w:r>
              <w:rPr>
                <w:rFonts w:ascii="Microsoft YaHei" w:hAnsi="Microsoft YaHei"/>
                <w:color w:val="000000"/>
                <w:sz w:val="19"/>
              </w:rPr>
              <w:t>格式支持矩阵、黄金向量、工程量编码、组一致性和应用校验</w:t>
            </w:r>
          </w:p>
        </w:tc>
        <w:tc>
          <w:tcPr>
            <w:tcW w:type="dxa" w:w="3231"/>
            <w:vAlign w:val="center"/>
            <w:shd w:fill="F4F6F8"/>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before="0" w:after="40" w:line="269" w:lineRule="auto"/>
            </w:pPr>
            <w:r>
              <w:rPr>
                <w:rFonts w:ascii="Microsoft YaHei" w:hAnsi="Microsoft YaHei"/>
                <w:color w:val="000000"/>
                <w:sz w:val="19"/>
              </w:rPr>
              <w:t>与真实3.3同版原码、工程量、schema_hash</w:t>
            </w:r>
          </w:p>
        </w:tc>
      </w:tr>
      <w:tr>
        <w:trPr>
          <w:cantSplit/>
        </w:trPr>
        <w:tc>
          <w:tcPr>
            <w:tcW w:type="dxa" w:w="1814"/>
            <w:vAlign w:val="cente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before="0" w:line="269" w:lineRule="auto"/>
            </w:pPr>
            <w:r>
              <w:rPr>
                <w:b w:val="0"/>
                <w:color w:val="000000"/>
                <w:sz w:val="19"/>
              </w:rPr>
              <w:t>传输驱动</w:t>
            </w:r>
          </w:p>
        </w:tc>
        <w:tc>
          <w:tcPr>
            <w:tcW w:type="dxa" w:w="4762"/>
            <w:vAlign w:val="cente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before="0" w:line="269" w:lineRule="auto"/>
            </w:pPr>
            <w:r>
              <w:rPr>
                <w:b w:val="0"/>
                <w:color w:val="000000"/>
                <w:sz w:val="19"/>
              </w:rPr>
              <w:t>UDP、SocketCAN、厂家SDK或串口；有限缓存</w:t>
            </w:r>
          </w:p>
        </w:tc>
        <w:tc>
          <w:tcPr>
            <w:tcW w:type="dxa" w:w="3231"/>
            <w:vAlign w:val="cente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before="0" w:line="269" w:lineRule="auto"/>
            </w:pPr>
            <w:r>
              <w:rPr>
                <w:b w:val="0"/>
                <w:color w:val="000000"/>
                <w:sz w:val="19"/>
              </w:rPr>
              <w:t>TX/RX记录、通道/驱动错误</w:t>
            </w:r>
          </w:p>
        </w:tc>
      </w:tr>
      <w:tr>
        <w:trPr>
          <w:cantSplit/>
        </w:trPr>
        <w:tc>
          <w:tcPr>
            <w:tcW w:type="dxa" w:w="1814"/>
            <w:vAlign w:val="center"/>
            <w:shd w:fill="F4F6F8"/>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line="269" w:lineRule="auto"/>
            </w:pPr>
            <w:r>
              <w:rPr>
                <w:rFonts w:ascii="Microsoft YaHei" w:hAnsi="Microsoft YaHei"/>
                <w:color w:val="000000"/>
                <w:sz w:val="19"/>
              </w:rPr>
              <w:t>目标接入服务</w:t>
            </w:r>
          </w:p>
        </w:tc>
        <w:tc>
          <w:tcPr>
            <w:tcW w:type="dxa" w:w="4762"/>
            <w:vAlign w:val="center"/>
            <w:shd w:fill="F4F6F8"/>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line="269" w:lineRule="auto"/>
            </w:pPr>
            <w:r>
              <w:rPr>
                <w:rFonts w:ascii="Microsoft YaHei" w:hAnsi="Microsoft YaHei"/>
                <w:color w:val="000000"/>
                <w:sz w:val="19"/>
              </w:rPr>
              <w:t>第9.11节共同校验、有限队列及冻结映射；来源透明</w:t>
            </w:r>
          </w:p>
        </w:tc>
        <w:tc>
          <w:tcPr>
            <w:tcW w:type="dxa" w:w="3231"/>
            <w:vAlign w:val="center"/>
            <w:shd w:fill="F4F6F8"/>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line="269" w:lineRule="auto"/>
            </w:pPr>
            <w:r>
              <w:rPr>
                <w:rFonts w:ascii="Microsoft YaHei" w:hAnsi="Microsoft YaHei"/>
                <w:color w:val="000000"/>
                <w:sz w:val="19"/>
              </w:rPr>
              <w:t>ICD规定的反馈；实际应用证据，可复用已有探针</w:t>
            </w:r>
          </w:p>
        </w:tc>
      </w:tr>
      <w:tr>
        <w:trPr>
          <w:cantSplit/>
        </w:trPr>
        <w:tc>
          <w:tcPr>
            <w:tcW w:type="dxa" w:w="1814"/>
            <w:vAlign w:val="cente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before="0" w:after="40" w:line="269" w:lineRule="auto"/>
            </w:pPr>
            <w:r>
              <w:rPr>
                <w:rFonts w:ascii="Microsoft YaHei" w:hAnsi="Microsoft YaHei"/>
                <w:color w:val="000000"/>
                <w:sz w:val="19"/>
              </w:rPr>
              <w:t>反馈采集与断言</w:t>
            </w:r>
          </w:p>
        </w:tc>
        <w:tc>
          <w:tcPr>
            <w:tcW w:type="dxa" w:w="4762"/>
            <w:vAlign w:val="cente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before="0" w:after="40" w:line="269" w:lineRule="auto"/>
            </w:pPr>
            <w:r>
              <w:rPr>
                <w:rFonts w:ascii="Microsoft YaHei" w:hAnsi="Microsoft YaHei"/>
                <w:color w:val="000000"/>
                <w:sz w:val="19"/>
              </w:rPr>
              <w:t>按第9.12节关联接收、应用、响应和安全；执行L/T用例</w:t>
            </w:r>
          </w:p>
        </w:tc>
        <w:tc>
          <w:tcPr>
            <w:tcW w:type="dxa" w:w="3231"/>
            <w:vAlign w:val="cente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before="0" w:after="40" w:line="269" w:lineRule="auto"/>
            </w:pPr>
            <w:r>
              <w:rPr>
                <w:rFonts w:ascii="Microsoft YaHei" w:hAnsi="Microsoft YaHei"/>
                <w:color w:val="000000"/>
                <w:sz w:val="19"/>
              </w:rPr>
              <w:t>逐条断言、缺失证据与失败原因；不以TX/accepted判生效</w:t>
            </w:r>
          </w:p>
        </w:tc>
      </w:tr>
      <w:tr>
        <w:trPr>
          <w:cantSplit/>
        </w:trPr>
        <w:tc>
          <w:tcPr>
            <w:tcW w:type="dxa" w:w="1814"/>
            <w:vAlign w:val="center"/>
            <w:shd w:fill="F4F6F8"/>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before="0" w:line="269" w:lineRule="auto"/>
            </w:pPr>
            <w:r>
              <w:rPr>
                <w:b w:val="0"/>
                <w:color w:val="000000"/>
                <w:sz w:val="19"/>
              </w:rPr>
              <w:t>证据记录器</w:t>
            </w:r>
          </w:p>
        </w:tc>
        <w:tc>
          <w:tcPr>
            <w:tcW w:type="dxa" w:w="4762"/>
            <w:vAlign w:val="center"/>
            <w:shd w:fill="F4F6F8"/>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before="0" w:line="269" w:lineRule="auto"/>
            </w:pPr>
            <w:r>
              <w:rPr>
                <w:b w:val="0"/>
                <w:color w:val="000000"/>
                <w:sz w:val="19"/>
              </w:rPr>
              <w:t>原码、解算量、配置、版本、时间和资源统计</w:t>
            </w:r>
          </w:p>
        </w:tc>
        <w:tc>
          <w:tcPr>
            <w:tcW w:type="dxa" w:w="3231"/>
            <w:vAlign w:val="center"/>
            <w:shd w:fill="F4F6F8"/>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before="0" w:line="269" w:lineRule="auto"/>
            </w:pPr>
            <w:r>
              <w:rPr>
                <w:b w:val="0"/>
                <w:color w:val="000000"/>
                <w:sz w:val="19"/>
              </w:rPr>
              <w:t>不可覆盖的run目录、哈希清单与索引</w:t>
            </w:r>
          </w:p>
        </w:tc>
      </w:tr>
    </w:tbl>
    <w:p/>
    <w:p>
      <w:pPr>
        <w:widowControl/>
      </w:pPr>
      <w:r>
        <w:t>启动自检校验ICD与模型契约、端口占用、驱动、控制源和记录空间。未通过时禁止发送。记录器采用有限队列与分块文件；达到磁盘门限时停止新增测试并进入规定安全状态，保留完整性标记，不把丢失记录的用例判为通过。</w:t>
      </w:r>
    </w:p>
    <w:p>
      <w:pPr>
        <w:widowControl/>
      </w:pPr>
      <w:r>
        <w:t>3.3资源管理、正式测试报告和3.7统一数据管理通过证据包或已冻结API接收结果。模拟器提供简明结果摘要与机器可读断言，不复制全平台用户管理、模型版本库或数据库业务。</w:t>
      </w:r>
    </w:p>
    <w:p>
      <w:pPr>
        <w:pStyle w:val="3"/>
        <w:keepNext/>
        <w:rPr>
          <w:rFonts w:hint="eastAsia" w:ascii="微软雅黑" w:hAnsi="微软雅黑" w:eastAsia="微软雅黑" w:cs="微软雅黑"/>
        </w:rPr>
      </w:pPr>
      <w:r>
        <w:rPr>
          <w:rFonts w:hint="eastAsia" w:ascii="微软雅黑" w:hAnsi="微软雅黑" w:eastAsia="微软雅黑" w:cs="微软雅黑"/>
          <w:color w:val="000000"/>
        </w:rPr>
        <w:t>8. 分阶段实施步骤</w:t>
      </w:r>
    </w:p>
    <w:p>
      <w:pPr>
        <w:pStyle w:val="14"/>
        <w:widowControl/>
        <w:spacing w:after="80"/>
        <w:rPr>
          <w:rFonts w:hint="eastAsia" w:ascii="微软雅黑" w:hAnsi="微软雅黑" w:eastAsia="微软雅黑" w:cs="微软雅黑"/>
        </w:rPr>
      </w:pPr>
      <w:r>
        <w:t>阶段1 - 共同冻结：三方签署正式3.3↔3.6 ICD、传输配置、覆盖清单和符合性测试；明确输入、反馈、握手、时序、校验与安全规则。</w:t>
      </w:r>
    </w:p>
    <w:p>
      <w:pPr>
        <w:pStyle w:val="14"/>
        <w:widowControl/>
        <w:spacing w:after="80"/>
        <w:rPr>
          <w:rFonts w:hint="eastAsia" w:ascii="微软雅黑" w:hAnsi="微软雅黑" w:eastAsia="微软雅黑" w:cs="微软雅黑"/>
        </w:rPr>
      </w:pPr>
      <w:r>
        <w:t>阶段2 - 软件联调：按冻结消息子集实现模拟器及3.6统一标准接入；虚拟接口使用相同编码，完成合法、非法、乱序和超时验证。临时探索协议不得登记为正式接口通过。</w:t>
      </w:r>
    </w:p>
    <w:p>
      <w:pPr>
        <w:pStyle w:val="14"/>
        <w:widowControl/>
        <w:spacing w:after="80"/>
        <w:rPr>
          <w:rFonts w:hint="eastAsia" w:ascii="微软雅黑" w:hAnsi="微软雅黑" w:eastAsia="微软雅黑" w:cs="微软雅黑"/>
        </w:rPr>
      </w:pPr>
      <w:r>
        <w:rPr>
          <w:rFonts w:hint="eastAsia" w:ascii="微软雅黑" w:hAnsi="微软雅黑" w:eastAsia="微软雅黑" w:cs="微软雅黑"/>
        </w:rPr>
        <w:t>阶段3 - 回放与异常联调：引入 CAN 日志/PCAP/场景脚本，验证时序、丢帧、超时、错误值和故障注入。</w:t>
      </w:r>
    </w:p>
    <w:p>
      <w:pPr>
        <w:pStyle w:val="14"/>
        <w:widowControl/>
        <w:spacing w:after="80"/>
        <w:rPr>
          <w:rFonts w:hint="eastAsia" w:ascii="微软雅黑" w:hAnsi="微软雅黑" w:eastAsia="微软雅黑" w:cs="微软雅黑"/>
        </w:rPr>
      </w:pPr>
      <w:r>
        <w:t>阶段4 - 正式链路冻结：以模拟器接入选定真实CANFD/车载以太网等正式通道，提前完成3.6驱动、编解码、映射、反馈和时序验证；实体串口/AD/DA/IO另测。形成发布包、库及配置哈希基线，不把这些开发工作推迟到替换阶段。</w:t>
      </w:r>
    </w:p>
    <w:p>
      <w:pPr>
        <w:pStyle w:val="14"/>
        <w:widowControl/>
        <w:spacing w:after="80"/>
        <w:rPr>
          <w:rFonts w:hint="eastAsia" w:ascii="微软雅黑" w:hAnsi="微软雅黑" w:eastAsia="微软雅黑" w:cs="微软雅黑"/>
        </w:rPr>
      </w:pPr>
      <w:r>
        <w:t>阶段5 - 仅配置替换：停止模拟源，按共同ICD接入真实3.3，仅调整白名单内的部署及授权配置，使用同一3.6发布包执行符合性和同场景回归；需修改代码或接口定义时不判定平滑替换通过。</w:t>
      </w:r>
    </w:p>
    <w:p>
      <w:pPr>
        <w:pStyle w:val="4"/>
        <w:keepNext/>
      </w:pPr>
      <w:r>
        <w:rPr>
          <w:color w:val="000000"/>
        </w:rPr>
        <w:t>8.1 阶段交付与进入条件</w:t>
      </w:r>
    </w:p>
    <w:tbl>
      <w:tblPr>
        <w:tblW w:type="auto" w:w="0"/>
        <w:jc w:val="center"/>
        <w:tblLayout w:type="fixed"/>
        <w:tblLook w:firstColumn="1" w:firstRow="1" w:lastColumn="0" w:lastRow="0" w:noHBand="0" w:noVBand="1" w:val="04A0"/>
      </w:tblPr>
      <w:tblGrid>
        <w:gridCol w:w="1701"/>
        <w:gridCol w:w="3969"/>
        <w:gridCol w:w="4139"/>
      </w:tblGrid>
      <w:tr>
        <w:trPr>
          <w:tblHeader/>
          <w:cantSplit/>
        </w:trPr>
        <w:tc>
          <w:tcPr>
            <w:tcW w:type="dxa" w:w="1701"/>
            <w:vAlign w:val="center"/>
            <w:shd w:fill="DCE9F4"/>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spacing w:after="40" w:before="0" w:line="269" w:lineRule="auto"/>
            </w:pPr>
            <w:r>
              <w:rPr>
                <w:b/>
                <w:color w:val="000000"/>
                <w:sz w:val="19"/>
              </w:rPr>
              <w:t>阶段</w:t>
            </w:r>
          </w:p>
        </w:tc>
        <w:tc>
          <w:tcPr>
            <w:tcW w:type="dxa" w:w="3969"/>
            <w:vAlign w:val="center"/>
            <w:shd w:fill="DCE9F4"/>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spacing w:after="40" w:before="0" w:line="269" w:lineRule="auto"/>
            </w:pPr>
            <w:r>
              <w:rPr>
                <w:b/>
                <w:color w:val="000000"/>
                <w:sz w:val="19"/>
              </w:rPr>
              <w:t>交付物</w:t>
            </w:r>
          </w:p>
        </w:tc>
        <w:tc>
          <w:tcPr>
            <w:tcW w:type="dxa" w:w="4139"/>
            <w:vAlign w:val="center"/>
            <w:shd w:fill="DCE9F4"/>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spacing w:after="40" w:before="0" w:line="269" w:lineRule="auto"/>
            </w:pPr>
            <w:r>
              <w:rPr>
                <w:b/>
                <w:color w:val="000000"/>
                <w:sz w:val="19"/>
              </w:rPr>
              <w:t>进入下一阶段的条件</w:t>
            </w:r>
          </w:p>
        </w:tc>
      </w:tr>
      <w:tr>
        <w:trPr>
          <w:cantSplit/>
        </w:trPr>
        <w:tc>
          <w:tcPr>
            <w:tcW w:type="dxa" w:w="1701"/>
            <w:vAlign w:val="cente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before="0" w:after="40" w:line="269" w:lineRule="auto"/>
            </w:pPr>
            <w:r>
              <w:rPr>
                <w:rFonts w:ascii="Microsoft YaHei" w:hAnsi="Microsoft YaHei"/>
                <w:color w:val="000000"/>
                <w:sz w:val="19"/>
              </w:rPr>
              <w:t>A 契约冻结</w:t>
            </w:r>
          </w:p>
        </w:tc>
        <w:tc>
          <w:tcPr>
            <w:tcW w:type="dxa" w:w="3969"/>
            <w:vAlign w:val="cente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before="0" w:after="40" w:line="269" w:lineRule="auto"/>
            </w:pPr>
            <w:r>
              <w:rPr>
                <w:rFonts w:ascii="Microsoft YaHei" w:hAnsi="Microsoft YaHei"/>
                <w:color w:val="000000"/>
                <w:sz w:val="19"/>
              </w:rPr>
              <w:t>签署ICD、各链路绑定、反馈/时钟/队列/安全及符合性用例</w:t>
            </w:r>
          </w:p>
        </w:tc>
        <w:tc>
          <w:tcPr>
            <w:tcW w:type="dxa" w:w="4139"/>
            <w:vAlign w:val="cente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before="0" w:after="40" w:line="269" w:lineRule="auto"/>
            </w:pPr>
            <w:r>
              <w:rPr>
                <w:rFonts w:ascii="Microsoft YaHei" w:hAnsi="Microsoft YaHei"/>
                <w:color w:val="000000"/>
                <w:sz w:val="19"/>
              </w:rPr>
              <w:t>必选项和关联方式齐全；L/T覆盖及阶段子集明确</w:t>
            </w:r>
          </w:p>
        </w:tc>
      </w:tr>
      <w:tr>
        <w:trPr>
          <w:cantSplit/>
        </w:trPr>
        <w:tc>
          <w:tcPr>
            <w:tcW w:type="dxa" w:w="1701"/>
            <w:vAlign w:val="center"/>
            <w:shd w:fill="F4F6F8"/>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line="269" w:lineRule="auto"/>
            </w:pPr>
            <w:r>
              <w:rPr>
                <w:rFonts w:ascii="Microsoft YaHei" w:hAnsi="Microsoft YaHei"/>
                <w:color w:val="000000"/>
                <w:sz w:val="19"/>
              </w:rPr>
              <w:t>B 单接口软件</w:t>
            </w:r>
          </w:p>
        </w:tc>
        <w:tc>
          <w:tcPr>
            <w:tcW w:type="dxa" w:w="3969"/>
            <w:vAlign w:val="center"/>
            <w:shd w:fill="F4F6F8"/>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line="269" w:lineRule="auto"/>
            </w:pPr>
            <w:r>
              <w:rPr>
                <w:rFonts w:ascii="Microsoft YaHei" w:hAnsi="Microsoft YaHei"/>
                <w:color w:val="000000"/>
                <w:sz w:val="19"/>
              </w:rPr>
              <w:t>资源、同版编码、正式接入；L01/L02或L04及基础T用例</w:t>
            </w:r>
          </w:p>
        </w:tc>
        <w:tc>
          <w:tcPr>
            <w:tcW w:type="dxa" w:w="4139"/>
            <w:vAlign w:val="center"/>
            <w:shd w:fill="F4F6F8"/>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line="269" w:lineRule="auto"/>
            </w:pPr>
            <w:r>
              <w:rPr>
                <w:rFonts w:ascii="Microsoft YaHei" w:hAnsi="Microsoft YaHei"/>
                <w:color w:val="000000"/>
                <w:sz w:val="19"/>
              </w:rPr>
              <w:t>双向子集闭合；真实接收与实际应用证据，可复用既有记录</w:t>
            </w:r>
          </w:p>
        </w:tc>
      </w:tr>
      <w:tr>
        <w:trPr>
          <w:cantSplit/>
        </w:trPr>
        <w:tc>
          <w:tcPr>
            <w:tcW w:type="dxa" w:w="1701"/>
            <w:vAlign w:val="cente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line="269" w:lineRule="auto"/>
            </w:pPr>
            <w:r>
              <w:rPr>
                <w:rFonts w:ascii="Microsoft YaHei" w:hAnsi="Microsoft YaHei"/>
                <w:color w:val="000000"/>
                <w:sz w:val="19"/>
              </w:rPr>
              <w:t>C 场景与闭环</w:t>
            </w:r>
          </w:p>
        </w:tc>
        <w:tc>
          <w:tcPr>
            <w:tcW w:type="dxa" w:w="3969"/>
            <w:vAlign w:val="cente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line="269" w:lineRule="auto"/>
            </w:pPr>
            <w:r>
              <w:rPr>
                <w:rFonts w:ascii="Microsoft YaHei" w:hAnsi="Microsoft YaHei"/>
                <w:color w:val="000000"/>
                <w:sz w:val="19"/>
              </w:rPr>
              <w:t>场景/回放、模型和任务绑定、应用证据；L05～L09及对应T用例</w:t>
            </w:r>
          </w:p>
        </w:tc>
        <w:tc>
          <w:tcPr>
            <w:tcW w:type="dxa" w:w="4139"/>
            <w:vAlign w:val="cente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line="269" w:lineRule="auto"/>
            </w:pPr>
            <w:r>
              <w:rPr>
                <w:rFonts w:ascii="Microsoft YaHei" w:hAnsi="Microsoft YaHei"/>
                <w:color w:val="000000"/>
                <w:sz w:val="19"/>
              </w:rPr>
              <w:t>状态机、适用重建、同步、安全与响应判定通过</w:t>
            </w:r>
          </w:p>
        </w:tc>
      </w:tr>
      <w:tr>
        <w:trPr>
          <w:cantSplit/>
        </w:trPr>
        <w:tc>
          <w:tcPr>
            <w:tcW w:type="dxa" w:w="1701"/>
            <w:vAlign w:val="center"/>
            <w:shd w:fill="F4F6F8"/>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before="0" w:after="40" w:line="269" w:lineRule="auto"/>
            </w:pPr>
            <w:r>
              <w:rPr>
                <w:rFonts w:ascii="Microsoft YaHei" w:hAnsi="Microsoft YaHei"/>
                <w:color w:val="000000"/>
                <w:sz w:val="19"/>
              </w:rPr>
              <w:t>D 真实接口</w:t>
            </w:r>
          </w:p>
        </w:tc>
        <w:tc>
          <w:tcPr>
            <w:tcW w:type="dxa" w:w="3969"/>
            <w:vAlign w:val="center"/>
            <w:shd w:fill="F4F6F8"/>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before="0" w:after="40" w:line="269" w:lineRule="auto"/>
            </w:pPr>
            <w:r>
              <w:rPr>
                <w:rFonts w:ascii="Microsoft YaHei" w:hAnsi="Microsoft YaHei"/>
                <w:color w:val="000000"/>
                <w:sz w:val="19"/>
              </w:rPr>
              <w:t>全部必选正式链路、驱动、L03/L04及T13；发布包/白名单哈希</w:t>
            </w:r>
          </w:p>
        </w:tc>
        <w:tc>
          <w:tcPr>
            <w:tcW w:type="dxa" w:w="4139"/>
            <w:vAlign w:val="center"/>
            <w:shd w:fill="F4F6F8"/>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before="0" w:after="40" w:line="269" w:lineRule="auto"/>
            </w:pPr>
            <w:r>
              <w:rPr>
                <w:rFonts w:ascii="Microsoft YaHei" w:hAnsi="Microsoft YaHei"/>
                <w:color w:val="000000"/>
                <w:sz w:val="19"/>
              </w:rPr>
              <w:t>真实接线与接口指标通过；全部接收/应用/反馈证据齐全</w:t>
            </w:r>
          </w:p>
        </w:tc>
      </w:tr>
      <w:tr>
        <w:trPr>
          <w:cantSplit/>
        </w:trPr>
        <w:tc>
          <w:tcPr>
            <w:tcW w:type="dxa" w:w="1701"/>
            <w:vAlign w:val="cente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before="0" w:after="40" w:line="269" w:lineRule="auto"/>
            </w:pPr>
            <w:r>
              <w:rPr>
                <w:rFonts w:ascii="Microsoft YaHei" w:hAnsi="Microsoft YaHei"/>
                <w:color w:val="000000"/>
                <w:sz w:val="19"/>
              </w:rPr>
              <w:t>E 真实3.3</w:t>
            </w:r>
          </w:p>
        </w:tc>
        <w:tc>
          <w:tcPr>
            <w:tcW w:type="dxa" w:w="3969"/>
            <w:vAlign w:val="cente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before="0" w:after="40" w:line="269" w:lineRule="auto"/>
            </w:pPr>
            <w:r>
              <w:rPr>
                <w:rFonts w:ascii="Microsoft YaHei" w:hAnsi="Microsoft YaHei"/>
                <w:color w:val="000000"/>
                <w:sz w:val="19"/>
              </w:rPr>
              <w:t>同版全部必选L/T用例；L10/T14报告、配置与哈希及回退证据</w:t>
            </w:r>
          </w:p>
        </w:tc>
        <w:tc>
          <w:tcPr>
            <w:tcW w:type="dxa" w:w="4139"/>
            <w:vAlign w:val="cente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before="0" w:after="40" w:line="269" w:lineRule="auto"/>
            </w:pPr>
            <w:r>
              <w:rPr>
                <w:rFonts w:ascii="Microsoft YaHei" w:hAnsi="Microsoft YaHei"/>
                <w:color w:val="000000"/>
                <w:sz w:val="19"/>
              </w:rPr>
              <w:t>仅白名单差异；保护文件不变；各正式链路全部通过</w:t>
            </w:r>
          </w:p>
        </w:tc>
      </w:tr>
    </w:tbl>
    <w:p/>
    <w:p>
      <w:pPr>
        <w:widowControl/>
      </w:pPr>
      <w:r>
        <w:t>工期在阶段A完成后按消息数量、模型映射、驱动获取和硬件到货情况估算。供应方驱动、实际ICD、模型输入契约和图像接口是关键依赖；以阶段证据控制进度，不预设“安装工具即完成联调”的工期。</w:t>
      </w:r>
    </w:p>
    <w:p>
      <w:pPr>
        <w:pStyle w:val="3"/>
        <w:keepNext/>
        <w:rPr>
          <w:rFonts w:hint="eastAsia" w:ascii="微软雅黑" w:hAnsi="微软雅黑" w:eastAsia="微软雅黑" w:cs="微软雅黑"/>
        </w:rPr>
      </w:pPr>
      <w:r>
        <w:rPr>
          <w:color w:val="000000"/>
        </w:rPr>
        <w:t>9. 推荐落地组合与环境部署</w:t>
      </w:r>
    </w:p>
    <w:p>
      <w:pPr>
        <w:keepNext/>
        <w:widowControl/>
        <w:ind w:left="720" w:leftChars="0" w:firstLine="720" w:firstLineChars="0"/>
        <w:jc w:val="center"/>
        <w:rPr>
          <w:rFonts w:hint="eastAsia" w:cs="微软雅黑"/>
          <w:lang w:val="en-US" w:eastAsia="zh-CN"/>
        </w:rPr>
      </w:pPr>
      <w:r>
        <w:rPr>
          <w:rFonts w:hint="eastAsia" w:cs="微软雅黑"/>
          <w:lang w:val="en-US" w:eastAsia="zh-CN"/>
        </w:rPr>
        <w:t>图1 仿真系统架构图</w:t>
      </w:r>
    </w:p>
    <w:p>
      <w:pPr>
        <w:keepNext w:val="0"/>
        <w:keepLines/>
      </w:pPr>
      <w:r>
        <w:drawing>
          <wp:inline xmlns:a="http://schemas.openxmlformats.org/drawingml/2006/main" xmlns:pic="http://schemas.openxmlformats.org/drawingml/2006/picture">
            <wp:extent cx="6120000" cy="4080000"/>
            <wp:docPr id="4" name="Picture 4"/>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6120000" cy="4080000"/>
                    </a:xfrm>
                    <a:prstGeom prst="rect"/>
                  </pic:spPr>
                </pic:pic>
              </a:graphicData>
            </a:graphic>
          </wp:inline>
        </w:drawing>
      </w:r>
    </w:p>
    <w:p>
      <w:pPr>
        <w:keepNext/>
        <w:pageBreakBefore/>
        <w:widowControl/>
        <w:spacing w:after="160"/>
        <w:ind w:left="720" w:leftChars="0" w:firstLine="720" w:firstLineChars="0"/>
        <w:jc w:val="center"/>
        <w:rPr>
          <w:rFonts w:hint="default" w:cs="微软雅黑"/>
          <w:lang w:val="en-US" w:eastAsia="zh-CN"/>
        </w:rPr>
      </w:pPr>
      <w:r>
        <w:t>图2 原工具链保留与标准接口补全</w:t>
      </w:r>
    </w:p>
    <w:p>
      <w:pPr>
        <w:keepNext w:val="0"/>
        <w:keepLines/>
        <w:spacing w:after="120"/>
        <w:ind w:left="0" w:leftChars="0" w:firstLine="0" w:firstLineChars="0"/>
        <w:jc w:val="center"/>
        <w:rPr>
          <w:rFonts w:hint="eastAsia" w:cs="微软雅黑"/>
          <w:lang w:val="en-US" w:eastAsia="zh-CN"/>
        </w:rPr>
      </w:pPr>
      <w:r>
        <w:drawing>
          <wp:inline xmlns:a="http://schemas.openxmlformats.org/drawingml/2006/main" xmlns:pic="http://schemas.openxmlformats.org/drawingml/2006/picture">
            <wp:extent cx="6120000" cy="5431500"/>
            <wp:docPr id="5" name="Picture 5"/>
            <wp:cNvGraphicFramePr>
              <a:graphicFrameLocks noChangeAspect="1"/>
            </wp:cNvGraphicFramePr>
            <a:graphic>
              <a:graphicData uri="http://schemas.openxmlformats.org/drawingml/2006/picture">
                <pic:pic>
                  <pic:nvPicPr>
                    <pic:cNvPr id="0" name="preserved-tool-chains.png"/>
                    <pic:cNvPicPr/>
                  </pic:nvPicPr>
                  <pic:blipFill>
                    <a:blip r:embed="rId16"/>
                    <a:stretch>
                      <a:fillRect/>
                    </a:stretch>
                  </pic:blipFill>
                  <pic:spPr>
                    <a:xfrm>
                      <a:off x="0" y="0"/>
                      <a:ext cx="6120000" cy="5431500"/>
                    </a:xfrm>
                    <a:prstGeom prst="rect"/>
                  </pic:spPr>
                </pic:pic>
              </a:graphicData>
            </a:graphic>
          </wp:inline>
        </w:drawing>
      </w:r>
    </w:p>
    <w:p>
      <w:pPr>
        <w:widowControl/>
      </w:pPr>
      <w:r>
        <w:t>图2保留原有六条工具分支和Robot Framework，增加必要的资源处理、正式接收与验证反馈。原三类资源为协议定义、场景脚本和历史记录；CAN日志、PCAP是历史记录的不同格式。场景调度可调用任一批准工具链，协议定义约束所有正常报文。各工具可直接通过正式通道发送，不必串经新增外部报文汇聚器；图中汇合线表示共用3.6正式入口。新增节点属于实施设计，不表示当前软件已经贯通。</w:t>
      </w:r>
    </w:p>
    <w:p>
      <w:pPr>
        <w:widowControl/>
        <w:rPr>
          <w:rFonts w:hint="eastAsia"/>
        </w:rPr>
      </w:pPr>
      <w:r>
        <w:rPr>
          <w:rFonts w:hint="eastAsia" w:cs="微软雅黑"/>
          <w:lang w:val="en-US" w:eastAsia="zh-CN"/>
        </w:rPr>
        <w:t>工具链的具体用途</w:t>
      </w:r>
      <w:bookmarkStart w:id="0" w:name="_GoBack"/>
      <w:bookmarkEnd w:id="0"/>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86"/>
        <w:gridCol w:w="3286"/>
        <w:gridCol w:w="328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blHeader/>
          <w:cantSplit/>
        </w:trPr>
        <w:tc>
          <w:tcPr>
            <w:tcW w:w="3286" w:type="dxa"/>
            <w:shd w:val="clear" w:color="auto" w:fill="2F5597"/>
            <w:vAlign w:val="center"/>
          </w:tcPr>
          <w:p>
            <w:pPr>
              <w:keepNext/>
              <w:jc w:val="center"/>
              <w:rPr>
                <w:rFonts w:hint="eastAsia" w:ascii="微软雅黑" w:hAnsi="微软雅黑" w:eastAsia="微软雅黑" w:cs="微软雅黑"/>
              </w:rPr>
            </w:pPr>
            <w:r>
              <w:rPr>
                <w:rFonts w:hint="eastAsia" w:ascii="微软雅黑" w:hAnsi="微软雅黑" w:eastAsia="微软雅黑" w:cs="微软雅黑"/>
                <w:b/>
                <w:color w:val="FFFFFF"/>
                <w:sz w:val="18"/>
              </w:rPr>
              <w:t>层次</w:t>
            </w:r>
          </w:p>
        </w:tc>
        <w:tc>
          <w:tcPr>
            <w:tcW w:w="3286" w:type="dxa"/>
            <w:shd w:val="clear" w:color="auto" w:fill="2F5597"/>
            <w:vAlign w:val="center"/>
          </w:tcPr>
          <w:p>
            <w:pPr>
              <w:keepNext/>
              <w:jc w:val="center"/>
              <w:rPr>
                <w:rFonts w:hint="eastAsia" w:ascii="微软雅黑" w:hAnsi="微软雅黑" w:eastAsia="微软雅黑" w:cs="微软雅黑"/>
              </w:rPr>
            </w:pPr>
            <w:r>
              <w:rPr>
                <w:rFonts w:hint="eastAsia" w:ascii="微软雅黑" w:hAnsi="微软雅黑" w:eastAsia="微软雅黑" w:cs="微软雅黑"/>
                <w:b/>
                <w:color w:val="FFFFFF"/>
                <w:sz w:val="18"/>
              </w:rPr>
              <w:t>推荐组件</w:t>
            </w:r>
          </w:p>
        </w:tc>
        <w:tc>
          <w:tcPr>
            <w:tcW w:w="3286" w:type="dxa"/>
            <w:shd w:val="clear" w:color="auto" w:fill="2F5597"/>
            <w:vAlign w:val="center"/>
          </w:tcPr>
          <w:p>
            <w:pPr>
              <w:keepNext/>
              <w:jc w:val="center"/>
              <w:rPr>
                <w:rFonts w:hint="eastAsia" w:ascii="微软雅黑" w:hAnsi="微软雅黑" w:eastAsia="微软雅黑" w:cs="微软雅黑"/>
              </w:rPr>
            </w:pPr>
            <w:r>
              <w:rPr>
                <w:rFonts w:hint="eastAsia" w:ascii="微软雅黑" w:hAnsi="微软雅黑" w:eastAsia="微软雅黑" w:cs="微软雅黑"/>
                <w:b/>
                <w:color w:val="FFFFFF"/>
                <w:sz w:val="18"/>
              </w:rPr>
              <w:t>用途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3286" w:type="dxa"/>
            <w:shd w:val="clear" w:color="auto" w:fill="FFFFFF"/>
            <w:vAlign w:val="center"/>
          </w:tcPr>
          <w:p>
            <w:pPr>
              <w:jc w:val="center"/>
              <w:rPr>
                <w:rFonts w:hint="eastAsia" w:ascii="微软雅黑" w:hAnsi="微软雅黑" w:eastAsia="微软雅黑" w:cs="微软雅黑"/>
              </w:rPr>
            </w:pPr>
            <w:r>
              <w:rPr>
                <w:rFonts w:hint="eastAsia" w:ascii="微软雅黑" w:hAnsi="微软雅黑" w:eastAsia="微软雅黑" w:cs="微软雅黑"/>
                <w:b w:val="0"/>
                <w:color w:val="000000"/>
                <w:sz w:val="18"/>
              </w:rPr>
              <w:t>虚拟接口层</w:t>
            </w:r>
          </w:p>
        </w:tc>
        <w:tc>
          <w:tcPr>
            <w:tcW w:w="3286" w:type="dxa"/>
            <w:shd w:val="clear" w:color="auto" w:fill="FFFFFF"/>
            <w:vAlign w:val="center"/>
          </w:tcPr>
          <w:p>
            <w:pPr>
              <w:jc w:val="left"/>
              <w:rPr>
                <w:rFonts w:hint="eastAsia" w:ascii="微软雅黑" w:hAnsi="微软雅黑" w:eastAsia="微软雅黑" w:cs="微软雅黑"/>
              </w:rPr>
            </w:pPr>
            <w:r>
              <w:rPr>
                <w:rFonts w:hint="eastAsia" w:ascii="微软雅黑" w:hAnsi="微软雅黑" w:eastAsia="微软雅黑" w:cs="微软雅黑"/>
                <w:b w:val="0"/>
                <w:color w:val="000000"/>
                <w:sz w:val="18"/>
              </w:rPr>
              <w:t>SocketCAN vcan</w:t>
            </w:r>
          </w:p>
        </w:tc>
        <w:tc>
          <w:tcPr>
            <w:tcW w:w="3286" w:type="dxa"/>
            <w:shd w:val="clear" w:color="auto" w:fill="FFFFFF"/>
            <w:vAlign w:val="center"/>
          </w:tcPr>
          <w:p>
            <w:pPr>
              <w:jc w:val="left"/>
              <w:rPr>
                <w:rFonts w:hint="eastAsia" w:ascii="微软雅黑" w:hAnsi="微软雅黑" w:eastAsia="微软雅黑" w:cs="微软雅黑"/>
              </w:rPr>
            </w:pPr>
            <w:r>
              <w:rPr>
                <w:rFonts w:hint="eastAsia" w:ascii="微软雅黑" w:hAnsi="微软雅黑" w:eastAsia="微软雅黑" w:cs="微软雅黑"/>
                <w:b w:val="0"/>
                <w:color w:val="000000"/>
                <w:sz w:val="18"/>
              </w:rPr>
              <w:t>无硬件条件下模拟CAN/CANFD接口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3286" w:type="dxa"/>
            <w:shd w:val="clear" w:color="auto" w:fill="F7F9FC"/>
            <w:vAlign w:val="center"/>
          </w:tcPr>
          <w:p>
            <w:pPr>
              <w:jc w:val="center"/>
              <w:rPr>
                <w:rFonts w:hint="eastAsia" w:ascii="微软雅黑" w:hAnsi="微软雅黑" w:eastAsia="微软雅黑" w:cs="微软雅黑"/>
              </w:rPr>
            </w:pPr>
            <w:r>
              <w:rPr>
                <w:rFonts w:hint="eastAsia" w:ascii="微软雅黑" w:hAnsi="微软雅黑" w:eastAsia="微软雅黑" w:cs="微软雅黑"/>
                <w:b w:val="0"/>
                <w:color w:val="000000"/>
                <w:sz w:val="18"/>
              </w:rPr>
              <w:t>报文工具层</w:t>
            </w:r>
          </w:p>
        </w:tc>
        <w:tc>
          <w:tcPr>
            <w:tcW w:w="3286" w:type="dxa"/>
            <w:shd w:val="clear" w:color="auto" w:fill="F7F9FC"/>
            <w:vAlign w:val="center"/>
          </w:tcPr>
          <w:p>
            <w:pPr>
              <w:jc w:val="left"/>
              <w:rPr>
                <w:rFonts w:hint="eastAsia" w:ascii="微软雅黑" w:hAnsi="微软雅黑" w:eastAsia="微软雅黑" w:cs="微软雅黑"/>
              </w:rPr>
            </w:pPr>
            <w:r>
              <w:rPr>
                <w:rFonts w:hint="eastAsia" w:ascii="微软雅黑" w:hAnsi="微软雅黑" w:eastAsia="微软雅黑" w:cs="微软雅黑"/>
                <w:b w:val="0"/>
                <w:color w:val="000000"/>
                <w:sz w:val="18"/>
              </w:rPr>
              <w:t>can-utils</w:t>
            </w:r>
          </w:p>
        </w:tc>
        <w:tc>
          <w:tcPr>
            <w:tcW w:w="3286" w:type="dxa"/>
            <w:shd w:val="clear" w:color="auto" w:fill="F7F9FC"/>
            <w:vAlign w:val="center"/>
          </w:tcPr>
          <w:p>
            <w:pPr>
              <w:jc w:val="left"/>
              <w:rPr>
                <w:rFonts w:hint="eastAsia" w:ascii="微软雅黑" w:hAnsi="微软雅黑" w:eastAsia="微软雅黑" w:cs="微软雅黑"/>
              </w:rPr>
            </w:pPr>
            <w:r>
              <w:rPr>
                <w:rFonts w:hint="eastAsia" w:ascii="微软雅黑" w:hAnsi="微软雅黑" w:eastAsia="微软雅黑" w:cs="微软雅黑"/>
                <w:b w:val="0"/>
                <w:color w:val="000000"/>
                <w:sz w:val="18"/>
              </w:rPr>
              <w:t>发送、生成、监听、记录、回放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3286" w:type="dxa"/>
            <w:shd w:val="clear" w:color="auto" w:fill="FFFFFF"/>
            <w:vAlign w:val="center"/>
          </w:tcPr>
          <w:p>
            <w:pPr>
              <w:spacing w:before="0" w:after="40" w:line="269" w:lineRule="auto"/>
            </w:pPr>
            <w:r>
              <w:rPr>
                <w:rFonts w:ascii="Microsoft YaHei" w:hAnsi="Microsoft YaHei"/>
                <w:color w:val="000000"/>
                <w:sz w:val="19"/>
              </w:rPr>
              <w:t>信号模型层</w:t>
            </w:r>
          </w:p>
        </w:tc>
        <w:tc>
          <w:tcPr>
            <w:tcW w:w="3286" w:type="dxa"/>
            <w:shd w:val="clear" w:color="auto" w:fill="FFFFFF"/>
            <w:vAlign w:val="center"/>
          </w:tcPr>
          <w:p>
            <w:pPr>
              <w:spacing w:before="0" w:after="40" w:line="269" w:lineRule="auto"/>
            </w:pPr>
            <w:r>
              <w:rPr>
                <w:rFonts w:ascii="Microsoft YaHei" w:hAnsi="Microsoft YaHei"/>
                <w:color w:val="000000"/>
                <w:sz w:val="19"/>
              </w:rPr>
              <w:t>python-can + cantools</w:t>
            </w:r>
          </w:p>
        </w:tc>
        <w:tc>
          <w:tcPr>
            <w:tcW w:w="3286" w:type="dxa"/>
            <w:shd w:val="clear" w:color="auto" w:fill="FFFFFF"/>
            <w:vAlign w:val="center"/>
          </w:tcPr>
          <w:p>
            <w:pPr>
              <w:spacing w:before="0" w:after="40" w:line="269" w:lineRule="auto"/>
            </w:pPr>
            <w:r>
              <w:rPr>
                <w:rFonts w:ascii="Microsoft YaHei" w:hAnsi="Microsoft YaHei"/>
                <w:color w:val="000000"/>
                <w:sz w:val="19"/>
              </w:rPr>
              <w:t>读取已验证DBC/ARXML子集，按场景工程量生成CAN报文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3286" w:type="dxa"/>
            <w:shd w:val="clear" w:color="auto" w:fill="F7F9FC"/>
            <w:vAlign w:val="center"/>
          </w:tcPr>
          <w:p>
            <w:pPr>
              <w:spacing w:after="40" w:line="269" w:lineRule="auto"/>
            </w:pPr>
            <w:r>
              <w:rPr>
                <w:rFonts w:ascii="Microsoft YaHei" w:hAnsi="Microsoft YaHei"/>
                <w:color w:val="000000"/>
                <w:sz w:val="19"/>
              </w:rPr>
              <w:t>以太网模拟层</w:t>
            </w:r>
          </w:p>
        </w:tc>
        <w:tc>
          <w:tcPr>
            <w:tcW w:w="3286" w:type="dxa"/>
            <w:shd w:val="clear" w:color="auto" w:fill="F7F9FC"/>
            <w:vAlign w:val="center"/>
          </w:tcPr>
          <w:p>
            <w:pPr>
              <w:spacing w:after="40" w:line="269" w:lineRule="auto"/>
            </w:pPr>
            <w:r>
              <w:rPr>
                <w:rFonts w:ascii="Microsoft YaHei" w:hAnsi="Microsoft YaHei"/>
                <w:color w:val="000000"/>
                <w:sz w:val="19"/>
              </w:rPr>
              <w:t>Ostinato + Scapy；按需客户端</w:t>
            </w:r>
          </w:p>
        </w:tc>
        <w:tc>
          <w:tcPr>
            <w:tcW w:w="3286" w:type="dxa"/>
            <w:shd w:val="clear" w:color="auto" w:fill="F7F9FC"/>
            <w:vAlign w:val="center"/>
          </w:tcPr>
          <w:p>
            <w:pPr>
              <w:spacing w:after="40" w:line="269" w:lineRule="auto"/>
            </w:pPr>
            <w:r>
              <w:rPr>
                <w:rFonts w:ascii="Microsoft YaHei" w:hAnsi="Microsoft YaHei"/>
                <w:color w:val="000000"/>
                <w:sz w:val="19"/>
              </w:rPr>
              <w:t>保留正常构包与异常测试；正式交互能力按9.16实测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3286" w:type="dxa"/>
            <w:shd w:val="clear" w:color="auto" w:fill="FFFFFF"/>
            <w:vAlign w:val="center"/>
          </w:tcPr>
          <w:p>
            <w:pPr>
              <w:spacing w:after="40" w:line="269" w:lineRule="auto"/>
            </w:pPr>
            <w:r>
              <w:rPr>
                <w:rFonts w:ascii="Microsoft YaHei" w:hAnsi="Microsoft YaHei"/>
                <w:color w:val="000000"/>
                <w:sz w:val="19"/>
              </w:rPr>
              <w:t>回放层</w:t>
            </w:r>
          </w:p>
        </w:tc>
        <w:tc>
          <w:tcPr>
            <w:tcW w:w="3286" w:type="dxa"/>
            <w:shd w:val="clear" w:color="auto" w:fill="FFFFFF"/>
            <w:vAlign w:val="center"/>
          </w:tcPr>
          <w:p>
            <w:pPr>
              <w:spacing w:after="40" w:line="269" w:lineRule="auto"/>
            </w:pPr>
            <w:r>
              <w:rPr>
                <w:rFonts w:ascii="Microsoft YaHei" w:hAnsi="Microsoft YaHei"/>
                <w:color w:val="000000"/>
                <w:sz w:val="19"/>
              </w:rPr>
              <w:t>canplayer + tcpreplay；按需预处理</w:t>
            </w:r>
          </w:p>
        </w:tc>
        <w:tc>
          <w:tcPr>
            <w:tcW w:w="3286" w:type="dxa"/>
            <w:shd w:val="clear" w:color="auto" w:fill="FFFFFF"/>
            <w:vAlign w:val="center"/>
          </w:tcPr>
          <w:p>
            <w:pPr>
              <w:spacing w:after="40" w:line="269" w:lineRule="auto"/>
            </w:pPr>
            <w:r>
              <w:rPr>
                <w:rFonts w:ascii="Microsoft YaHei" w:hAnsi="Microsoft YaHei"/>
                <w:color w:val="000000"/>
                <w:sz w:val="19"/>
              </w:rPr>
              <w:t>CAN日志/以太网PCAP分别处理；符合条件可直接发送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3286" w:type="dxa"/>
            <w:shd w:val="clear" w:color="auto" w:fill="F7F9FC"/>
            <w:vAlign w:val="center"/>
          </w:tcPr>
          <w:p>
            <w:pPr>
              <w:spacing w:after="40" w:line="269" w:lineRule="auto"/>
            </w:pPr>
            <w:r>
              <w:rPr>
                <w:rFonts w:ascii="Microsoft YaHei" w:hAnsi="Microsoft YaHei"/>
                <w:color w:val="000000"/>
                <w:sz w:val="19"/>
              </w:rPr>
              <w:t>自动化层</w:t>
            </w:r>
          </w:p>
        </w:tc>
        <w:tc>
          <w:tcPr>
            <w:tcW w:w="3286" w:type="dxa"/>
            <w:shd w:val="clear" w:color="auto" w:fill="F7F9FC"/>
            <w:vAlign w:val="center"/>
          </w:tcPr>
          <w:p>
            <w:pPr>
              <w:spacing w:after="40" w:line="269" w:lineRule="auto"/>
            </w:pPr>
            <w:r>
              <w:rPr>
                <w:rFonts w:ascii="Microsoft YaHei" w:hAnsi="Microsoft YaHei"/>
                <w:color w:val="000000"/>
                <w:sz w:val="19"/>
              </w:rPr>
              <w:t>Robot Framework</w:t>
            </w:r>
          </w:p>
        </w:tc>
        <w:tc>
          <w:tcPr>
            <w:tcW w:w="3286" w:type="dxa"/>
            <w:shd w:val="clear" w:color="auto" w:fill="F7F9FC"/>
            <w:vAlign w:val="center"/>
          </w:tcPr>
          <w:p>
            <w:pPr>
              <w:spacing w:after="40" w:line="269" w:lineRule="auto"/>
            </w:pPr>
            <w:r>
              <w:rPr>
                <w:rFonts w:ascii="Microsoft YaHei" w:hAnsi="Microsoft YaHei"/>
                <w:color w:val="000000"/>
                <w:sz w:val="19"/>
              </w:rPr>
              <w:t>场景编排、原工具调用及3.6标准管理API；不得旁路写模型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3286" w:type="dxa"/>
            <w:shd w:val="clear" w:color="auto" w:fill="FFFFFF"/>
            <w:vAlign w:val="center"/>
          </w:tcPr>
          <w:p>
            <w:pPr>
              <w:jc w:val="center"/>
              <w:rPr>
                <w:rFonts w:hint="eastAsia" w:ascii="微软雅黑" w:hAnsi="微软雅黑" w:eastAsia="微软雅黑" w:cs="微软雅黑"/>
              </w:rPr>
            </w:pPr>
            <w:r>
              <w:rPr>
                <w:rFonts w:hint="eastAsia" w:ascii="微软雅黑" w:hAnsi="微软雅黑" w:eastAsia="微软雅黑" w:cs="微软雅黑"/>
                <w:b w:val="0"/>
                <w:color w:val="000000"/>
                <w:sz w:val="18"/>
              </w:rPr>
              <w:t>可选GUI</w:t>
            </w:r>
          </w:p>
        </w:tc>
        <w:tc>
          <w:tcPr>
            <w:tcW w:w="3286" w:type="dxa"/>
            <w:shd w:val="clear" w:color="auto" w:fill="FFFFFF"/>
            <w:vAlign w:val="center"/>
          </w:tcPr>
          <w:p>
            <w:pPr>
              <w:jc w:val="left"/>
              <w:rPr>
                <w:rFonts w:hint="eastAsia" w:ascii="微软雅黑" w:hAnsi="微软雅黑" w:eastAsia="微软雅黑" w:cs="微软雅黑"/>
              </w:rPr>
            </w:pPr>
            <w:r>
              <w:rPr>
                <w:rFonts w:hint="eastAsia" w:ascii="微软雅黑" w:hAnsi="微软雅黑" w:eastAsia="微软雅黑" w:cs="微软雅黑"/>
                <w:b w:val="0"/>
                <w:color w:val="000000"/>
                <w:sz w:val="18"/>
              </w:rPr>
              <w:t>SavvyCAN</w:t>
            </w:r>
          </w:p>
        </w:tc>
        <w:tc>
          <w:tcPr>
            <w:tcW w:w="3286" w:type="dxa"/>
            <w:shd w:val="clear" w:color="auto" w:fill="FFFFFF"/>
            <w:vAlign w:val="center"/>
          </w:tcPr>
          <w:p>
            <w:pPr>
              <w:jc w:val="left"/>
              <w:rPr>
                <w:rFonts w:hint="eastAsia" w:ascii="微软雅黑" w:hAnsi="微软雅黑" w:eastAsia="微软雅黑" w:cs="微软雅黑"/>
              </w:rPr>
            </w:pPr>
            <w:r>
              <w:rPr>
                <w:rFonts w:hint="eastAsia" w:ascii="微软雅黑" w:hAnsi="微软雅黑" w:eastAsia="微软雅黑" w:cs="微软雅黑"/>
                <w:b w:val="0"/>
                <w:color w:val="000000"/>
                <w:sz w:val="18"/>
              </w:rPr>
              <w:t>人工观察、发送和分析CAN报文</w:t>
            </w:r>
          </w:p>
        </w:tc>
      </w:tr>
    </w:tbl>
    <w:p>
      <w:pPr>
        <w:rPr>
          <w:rFonts w:hint="eastAsia" w:ascii="微软雅黑" w:hAnsi="微软雅黑" w:eastAsia="微软雅黑" w:cs="微软雅黑"/>
        </w:rPr>
      </w:pPr>
    </w:p>
    <w:p>
      <w:pPr>
        <w:pStyle w:val="4"/>
        <w:keepNext/>
        <w:rPr>
          <w:rFonts w:hint="eastAsia" w:ascii="微软雅黑" w:hAnsi="微软雅黑" w:eastAsia="微软雅黑" w:cs="微软雅黑"/>
        </w:rPr>
      </w:pPr>
      <w:r>
        <w:rPr>
          <w:rFonts w:hint="eastAsia" w:ascii="微软雅黑" w:hAnsi="微软雅黑" w:eastAsia="微软雅黑" w:cs="微软雅黑"/>
          <w:color w:val="000000"/>
        </w:rPr>
        <w:t>9.1 最小可用环境</w:t>
      </w:r>
    </w:p>
    <w:p>
      <w:pPr>
        <w:pStyle w:val="16"/>
        <w:widowControl/>
        <w:spacing w:after="60"/>
        <w:rPr>
          <w:rFonts w:hint="eastAsia" w:ascii="微软雅黑" w:hAnsi="微软雅黑" w:eastAsia="微软雅黑" w:cs="微软雅黑"/>
        </w:rPr>
      </w:pPr>
      <w:r>
        <w:t>纯软件同机场景配置Ubuntu开发机1台；跨主机联调另需运行现有HIL的目标机和目标侧接入服务。</w:t>
      </w:r>
    </w:p>
    <w:p>
      <w:pPr>
        <w:pStyle w:val="16"/>
        <w:widowControl/>
        <w:spacing w:after="60"/>
        <w:rPr>
          <w:rFonts w:hint="eastAsia" w:ascii="微软雅黑" w:hAnsi="微软雅黑" w:eastAsia="微软雅黑" w:cs="微软雅黑"/>
        </w:rPr>
      </w:pPr>
      <w:r>
        <w:rPr>
          <w:rFonts w:hint="eastAsia" w:ascii="微软雅黑" w:hAnsi="微软雅黑" w:eastAsia="微软雅黑" w:cs="微软雅黑"/>
        </w:rPr>
        <w:t>SocketCAN vcan0；</w:t>
      </w:r>
    </w:p>
    <w:p>
      <w:pPr>
        <w:pStyle w:val="16"/>
        <w:widowControl/>
        <w:spacing w:after="60"/>
        <w:rPr>
          <w:rFonts w:hint="eastAsia" w:ascii="微软雅黑" w:hAnsi="微软雅黑" w:eastAsia="微软雅黑" w:cs="微软雅黑"/>
        </w:rPr>
      </w:pPr>
      <w:r>
        <w:rPr>
          <w:rFonts w:hint="eastAsia" w:ascii="微软雅黑" w:hAnsi="微软雅黑" w:eastAsia="微软雅黑" w:cs="微软雅黑"/>
        </w:rPr>
        <w:t>can-utils；</w:t>
      </w:r>
    </w:p>
    <w:p>
      <w:pPr>
        <w:pStyle w:val="16"/>
        <w:widowControl/>
        <w:spacing w:after="60"/>
        <w:rPr>
          <w:rFonts w:hint="eastAsia" w:ascii="微软雅黑" w:hAnsi="微软雅黑" w:eastAsia="微软雅黑" w:cs="微软雅黑"/>
        </w:rPr>
      </w:pPr>
      <w:r>
        <w:t>模拟器使用独立且满足依赖要求的Python环境，锁定python-can/cantools及其依赖；HIL目标侧保持既定Python 3.6.9工具链。</w:t>
      </w:r>
    </w:p>
    <w:p>
      <w:pPr>
        <w:pStyle w:val="16"/>
        <w:widowControl/>
        <w:spacing w:after="60"/>
        <w:rPr>
          <w:rFonts w:hint="eastAsia" w:ascii="微软雅黑" w:hAnsi="微软雅黑" w:eastAsia="微软雅黑" w:cs="微软雅黑"/>
        </w:rPr>
      </w:pPr>
      <w:r>
        <w:rPr>
          <w:rFonts w:hint="eastAsia" w:ascii="微软雅黑" w:hAnsi="微软雅黑" w:eastAsia="微软雅黑" w:cs="微软雅黑"/>
        </w:rPr>
        <w:t>Ostinato或Scapy（如需要Ethernet/UDP）；</w:t>
      </w:r>
    </w:p>
    <w:p>
      <w:pPr>
        <w:pStyle w:val="16"/>
        <w:widowControl/>
        <w:spacing w:after="60"/>
        <w:rPr>
          <w:rFonts w:hint="eastAsia" w:ascii="微软雅黑" w:hAnsi="微软雅黑" w:eastAsia="微软雅黑" w:cs="微软雅黑"/>
        </w:rPr>
      </w:pPr>
      <w:r>
        <w:rPr>
          <w:rFonts w:hint="eastAsia" w:ascii="微软雅黑" w:hAnsi="微软雅黑" w:eastAsia="微软雅黑" w:cs="微软雅黑"/>
        </w:rPr>
        <w:t>冻结的3.3↔3.6 ICD/DBC；</w:t>
      </w:r>
    </w:p>
    <w:p>
      <w:pPr>
        <w:pStyle w:val="16"/>
        <w:widowControl/>
        <w:spacing w:after="60"/>
        <w:rPr>
          <w:rFonts w:hint="eastAsia" w:ascii="微软雅黑" w:hAnsi="微软雅黑" w:eastAsia="微软雅黑" w:cs="微软雅黑"/>
        </w:rPr>
      </w:pPr>
      <w:r>
        <w:rPr>
          <w:rFonts w:hint="eastAsia" w:ascii="微软雅黑" w:hAnsi="微软雅黑" w:eastAsia="微软雅黑" w:cs="微软雅黑"/>
        </w:rPr>
        <w:t>正常、边界、业务异常、通信异常4类场景。</w:t>
      </w:r>
    </w:p>
    <w:p>
      <w:pPr>
        <w:pStyle w:val="4"/>
        <w:keepNext/>
      </w:pPr>
      <w:r>
        <w:rPr>
          <w:color w:val="000000"/>
        </w:rPr>
        <w:t>9.2 部署拓扑与主机职责</w:t>
      </w:r>
    </w:p>
    <w:p>
      <w:pPr>
        <w:widowControl/>
      </w:pPr>
      <w:r>
        <w:t>图1保留全平台关系；图2恢复信号生成、CAN工具、GUI观察、CAN回放、以太网模拟与PCAP回放六条分支，并保留自动化控制及3.6既有平台节点。补充只改变必要的输入关系、正式接入与证据要求，不预设合并工具链。SocketCAN的vcan和真实can分阶段启用；厂家SDK仅在已确认设备不具备可用原接口时按能力差距采用。全部必选正式链路在阶段D验证和冻结，阶段E不得新增驱动或转换器。</w:t>
      </w:r>
    </w:p>
    <w:p>
      <w:pPr>
        <w:keepLines/>
      </w:pPr>
      <w:r>
        <w:drawing>
          <wp:inline xmlns:a="http://schemas.openxmlformats.org/drawingml/2006/main" xmlns:pic="http://schemas.openxmlformats.org/drawingml/2006/picture">
            <wp:extent cx="6120000" cy="1917600"/>
            <wp:docPr id="3" name="Picture 3"/>
            <wp:cNvGraphicFramePr>
              <a:graphicFrameLocks noChangeAspect="1"/>
            </wp:cNvGraphicFramePr>
            <a:graphic>
              <a:graphicData uri="http://schemas.openxmlformats.org/drawingml/2006/picture">
                <pic:pic>
                  <pic:nvPicPr>
                    <pic:cNvPr id="0" name="deployment.png"/>
                    <pic:cNvPicPr/>
                  </pic:nvPicPr>
                  <pic:blipFill>
                    <a:blip r:embed="rId14"/>
                    <a:stretch>
                      <a:fillRect/>
                    </a:stretch>
                  </pic:blipFill>
                  <pic:spPr>
                    <a:xfrm>
                      <a:off x="0" y="0"/>
                      <a:ext cx="6120000" cy="1917600"/>
                    </a:xfrm>
                    <a:prstGeom prst="rect"/>
                  </pic:spPr>
                </pic:pic>
              </a:graphicData>
            </a:graphic>
          </wp:inline>
        </w:drawing>
      </w:r>
    </w:p>
    <w:p>
      <w:pPr>
        <w:widowControl/>
      </w:pPr>
      <w:r>
        <w:t>图3 开发阶段双向接入拓扑（新增接入服务为待实现模块）</w:t>
      </w:r>
    </w:p>
    <w:tbl>
      <w:tblPr>
        <w:tblW w:type="auto" w:w="0"/>
        <w:jc w:val="center"/>
        <w:tblLayout w:type="fixed"/>
        <w:tblLook w:firstColumn="1" w:firstRow="1" w:lastColumn="0" w:lastRow="0" w:noHBand="0" w:noVBand="1" w:val="04A0"/>
      </w:tblPr>
      <w:tblGrid>
        <w:gridCol w:w="1984"/>
        <w:gridCol w:w="4309"/>
        <w:gridCol w:w="3515"/>
      </w:tblGrid>
      <w:tr>
        <w:trPr>
          <w:tblHeader/>
          <w:cantSplit/>
        </w:trPr>
        <w:tc>
          <w:tcPr>
            <w:tcW w:type="dxa" w:w="1984"/>
            <w:vAlign w:val="center"/>
            <w:shd w:fill="DCE9F4"/>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spacing w:after="40" w:before="0" w:line="269" w:lineRule="auto"/>
            </w:pPr>
            <w:r>
              <w:rPr>
                <w:b/>
                <w:color w:val="000000"/>
                <w:sz w:val="19"/>
              </w:rPr>
              <w:t>主机或进程</w:t>
            </w:r>
          </w:p>
        </w:tc>
        <w:tc>
          <w:tcPr>
            <w:tcW w:type="dxa" w:w="4309"/>
            <w:vAlign w:val="center"/>
            <w:shd w:fill="DCE9F4"/>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spacing w:after="40" w:before="0" w:line="269" w:lineRule="auto"/>
            </w:pPr>
            <w:r>
              <w:rPr>
                <w:b/>
                <w:color w:val="000000"/>
                <w:sz w:val="19"/>
              </w:rPr>
              <w:t>部署职责</w:t>
            </w:r>
          </w:p>
        </w:tc>
        <w:tc>
          <w:tcPr>
            <w:tcW w:type="dxa" w:w="3515"/>
            <w:vAlign w:val="center"/>
            <w:shd w:fill="DCE9F4"/>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spacing w:after="40" w:before="0" w:line="269" w:lineRule="auto"/>
            </w:pPr>
            <w:r>
              <w:rPr>
                <w:b/>
                <w:color w:val="000000"/>
                <w:sz w:val="19"/>
              </w:rPr>
              <w:t>运行约束</w:t>
            </w:r>
          </w:p>
        </w:tc>
      </w:tr>
      <w:tr>
        <w:trPr>
          <w:cantSplit/>
        </w:trPr>
        <w:tc>
          <w:tcPr>
            <w:tcW w:type="dxa" w:w="1984"/>
            <w:vAlign w:val="cente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before="0" w:line="269" w:lineRule="auto"/>
            </w:pPr>
            <w:r>
              <w:rPr>
                <w:b w:val="0"/>
                <w:color w:val="000000"/>
                <w:sz w:val="19"/>
              </w:rPr>
              <w:t>模拟器主机</w:t>
            </w:r>
          </w:p>
        </w:tc>
        <w:tc>
          <w:tcPr>
            <w:tcW w:type="dxa" w:w="4309"/>
            <w:vAlign w:val="cente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before="0" w:line="269" w:lineRule="auto"/>
            </w:pPr>
            <w:r>
              <w:rPr>
                <w:b w:val="0"/>
                <w:color w:val="000000"/>
                <w:sz w:val="19"/>
              </w:rPr>
              <w:t>独立Python环境；场景、编解码、回放、反馈与断言</w:t>
            </w:r>
          </w:p>
        </w:tc>
        <w:tc>
          <w:tcPr>
            <w:tcW w:type="dxa" w:w="3515"/>
            <w:vAlign w:val="cente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before="0" w:line="269" w:lineRule="auto"/>
            </w:pPr>
            <w:r>
              <w:rPr>
                <w:b w:val="0"/>
                <w:color w:val="000000"/>
                <w:sz w:val="19"/>
              </w:rPr>
              <w:t>工具版本锁定；测试网地址固定；记录资源有界</w:t>
            </w:r>
          </w:p>
        </w:tc>
      </w:tr>
      <w:tr>
        <w:trPr>
          <w:cantSplit/>
        </w:trPr>
        <w:tc>
          <w:tcPr>
            <w:tcW w:type="dxa" w:w="1984"/>
            <w:vAlign w:val="center"/>
            <w:shd w:fill="F4F6F8"/>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before="0" w:line="269" w:lineRule="auto"/>
            </w:pPr>
            <w:r>
              <w:rPr>
                <w:b w:val="0"/>
                <w:color w:val="000000"/>
                <w:sz w:val="19"/>
              </w:rPr>
              <w:t>目标侧接入服务</w:t>
            </w:r>
          </w:p>
        </w:tc>
        <w:tc>
          <w:tcPr>
            <w:tcW w:type="dxa" w:w="4309"/>
            <w:vAlign w:val="center"/>
            <w:shd w:fill="F4F6F8"/>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before="0" w:line="269" w:lineRule="auto"/>
            </w:pPr>
            <w:r>
              <w:rPr>
                <w:b w:val="0"/>
                <w:color w:val="000000"/>
                <w:sz w:val="19"/>
              </w:rPr>
              <w:t>外部协议监听、ICD校验、会话和到HIL内部接口的映射</w:t>
            </w:r>
          </w:p>
        </w:tc>
        <w:tc>
          <w:tcPr>
            <w:tcW w:type="dxa" w:w="3515"/>
            <w:vAlign w:val="center"/>
            <w:shd w:fill="F4F6F8"/>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before="0" w:line="269" w:lineRule="auto"/>
            </w:pPr>
            <w:r>
              <w:rPr>
                <w:b w:val="0"/>
                <w:color w:val="000000"/>
                <w:sz w:val="19"/>
              </w:rPr>
              <w:t>靠近模型主机部署；独立线程/进程；不向外暴露C内部UDP</w:t>
            </w:r>
          </w:p>
        </w:tc>
      </w:tr>
      <w:tr>
        <w:trPr>
          <w:cantSplit/>
        </w:trPr>
        <w:tc>
          <w:tcPr>
            <w:tcW w:type="dxa" w:w="1984"/>
            <w:vAlign w:val="cente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before="0" w:line="269" w:lineRule="auto"/>
            </w:pPr>
            <w:r>
              <w:rPr>
                <w:b w:val="0"/>
                <w:color w:val="000000"/>
                <w:sz w:val="19"/>
              </w:rPr>
              <w:t>PXIe模型运算设备</w:t>
            </w:r>
          </w:p>
        </w:tc>
        <w:tc>
          <w:tcPr>
            <w:tcW w:type="dxa" w:w="4309"/>
            <w:vAlign w:val="cente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before="0" w:line="269" w:lineRule="auto"/>
            </w:pPr>
            <w:r>
              <w:rPr>
                <w:b w:val="0"/>
                <w:color w:val="000000"/>
                <w:sz w:val="19"/>
              </w:rPr>
              <w:t>既有模型包校验、生成、C核心1 ms解算及状态发布</w:t>
            </w:r>
          </w:p>
        </w:tc>
        <w:tc>
          <w:tcPr>
            <w:tcW w:type="dxa" w:w="3515"/>
            <w:vAlign w:val="cente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before="0" w:line="269" w:lineRule="auto"/>
            </w:pPr>
            <w:r>
              <w:rPr>
                <w:b w:val="0"/>
                <w:color w:val="000000"/>
                <w:sz w:val="19"/>
              </w:rPr>
              <w:t>Ubuntu 18.04 RT、MATLAB R2018b、GCC 7.5、Python 3.6.9</w:t>
            </w:r>
          </w:p>
        </w:tc>
      </w:tr>
      <w:tr>
        <w:trPr>
          <w:cantSplit/>
        </w:trPr>
        <w:tc>
          <w:tcPr>
            <w:tcW w:type="dxa" w:w="1984"/>
            <w:vAlign w:val="center"/>
            <w:shd w:fill="F4F6F8"/>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before="0" w:line="269" w:lineRule="auto"/>
            </w:pPr>
            <w:r>
              <w:rPr>
                <w:b w:val="0"/>
                <w:color w:val="000000"/>
                <w:sz w:val="19"/>
              </w:rPr>
              <w:t>仿真主机/显示</w:t>
            </w:r>
          </w:p>
        </w:tc>
        <w:tc>
          <w:tcPr>
            <w:tcW w:type="dxa" w:w="4309"/>
            <w:vAlign w:val="center"/>
            <w:shd w:fill="F4F6F8"/>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before="0" w:line="269" w:lineRule="auto"/>
            </w:pPr>
            <w:r>
              <w:rPr>
                <w:b w:val="0"/>
                <w:color w:val="000000"/>
                <w:sz w:val="19"/>
              </w:rPr>
              <w:t>既有平台控制、状态显示与AirSim/UE4适配</w:t>
            </w:r>
          </w:p>
        </w:tc>
        <w:tc>
          <w:tcPr>
            <w:tcW w:type="dxa" w:w="3515"/>
            <w:vAlign w:val="center"/>
            <w:shd w:fill="F4F6F8"/>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before="0" w:line="269" w:lineRule="auto"/>
            </w:pPr>
            <w:r>
              <w:rPr>
                <w:b w:val="0"/>
                <w:color w:val="000000"/>
                <w:sz w:val="19"/>
              </w:rPr>
              <w:t>50 Hz显示流供展示；不作为高频传感器闭环数据源</w:t>
            </w:r>
          </w:p>
        </w:tc>
      </w:tr>
      <w:tr>
        <w:trPr>
          <w:cantSplit/>
        </w:trPr>
        <w:tc>
          <w:tcPr>
            <w:tcW w:type="dxa" w:w="1984"/>
            <w:vAlign w:val="cente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before="0" w:line="269" w:lineRule="auto"/>
            </w:pPr>
            <w:r>
              <w:rPr>
                <w:b w:val="0"/>
                <w:color w:val="000000"/>
                <w:sz w:val="19"/>
              </w:rPr>
              <w:t>图像注入主机</w:t>
            </w:r>
          </w:p>
        </w:tc>
        <w:tc>
          <w:tcPr>
            <w:tcW w:type="dxa" w:w="4309"/>
            <w:vAlign w:val="cente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before="0" w:line="269" w:lineRule="auto"/>
            </w:pPr>
            <w:r>
              <w:rPr>
                <w:b w:val="0"/>
                <w:color w:val="000000"/>
                <w:sz w:val="19"/>
              </w:rPr>
              <w:t>视频源、标注、时间同步、物理接口和算法结果采集</w:t>
            </w:r>
          </w:p>
        </w:tc>
        <w:tc>
          <w:tcPr>
            <w:tcW w:type="dxa" w:w="3515"/>
            <w:vAlign w:val="cente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before="0" w:line="269" w:lineRule="auto"/>
            </w:pPr>
            <w:r>
              <w:rPr>
                <w:b w:val="0"/>
                <w:color w:val="000000"/>
                <w:sz w:val="19"/>
              </w:rPr>
              <w:t>独立视频带宽与缓存；10 ms设备调度另测</w:t>
            </w:r>
          </w:p>
        </w:tc>
      </w:tr>
      <w:tr>
        <w:trPr>
          <w:cantSplit/>
        </w:trPr>
        <w:tc>
          <w:tcPr>
            <w:tcW w:type="dxa" w:w="1984"/>
            <w:vAlign w:val="center"/>
            <w:shd w:fill="F4F6F8"/>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before="0" w:line="269" w:lineRule="auto"/>
            </w:pPr>
            <w:r>
              <w:rPr>
                <w:b w:val="0"/>
                <w:color w:val="000000"/>
                <w:sz w:val="19"/>
              </w:rPr>
              <w:t>3.4监控/测量</w:t>
            </w:r>
          </w:p>
        </w:tc>
        <w:tc>
          <w:tcPr>
            <w:tcW w:type="dxa" w:w="4309"/>
            <w:vAlign w:val="center"/>
            <w:shd w:fill="F4F6F8"/>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before="0" w:line="269" w:lineRule="auto"/>
            </w:pPr>
            <w:r>
              <w:rPr>
                <w:b w:val="0"/>
                <w:color w:val="000000"/>
                <w:sz w:val="19"/>
              </w:rPr>
              <w:t>监听真实总线、硬件时间戳、波形和故障测量</w:t>
            </w:r>
          </w:p>
        </w:tc>
        <w:tc>
          <w:tcPr>
            <w:tcW w:type="dxa" w:w="3515"/>
            <w:vAlign w:val="center"/>
            <w:shd w:fill="F4F6F8"/>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before="0" w:line="269" w:lineRule="auto"/>
            </w:pPr>
            <w:r>
              <w:rPr>
                <w:b w:val="0"/>
                <w:color w:val="000000"/>
                <w:sz w:val="19"/>
              </w:rPr>
              <w:t>资源独占策略明确；共享run_id和同步精度记录</w:t>
            </w:r>
          </w:p>
        </w:tc>
      </w:tr>
    </w:tbl>
    <w:p/>
    <w:p>
      <w:pPr>
        <w:pStyle w:val="4"/>
        <w:keepNext/>
      </w:pPr>
      <w:r>
        <w:rPr>
          <w:color w:val="000000"/>
        </w:rPr>
        <w:t>9.3 现有端口与新增接入端点</w:t>
      </w:r>
    </w:p>
    <w:tbl>
      <w:tblPr>
        <w:tblW w:type="auto" w:w="0"/>
        <w:jc w:val="center"/>
        <w:tblLayout w:type="fixed"/>
        <w:tblLook w:firstColumn="1" w:firstRow="1" w:lastColumn="0" w:lastRow="0" w:noHBand="0" w:noVBand="1" w:val="04A0"/>
      </w:tblPr>
      <w:tblGrid>
        <w:gridCol w:w="2494"/>
        <w:gridCol w:w="3685"/>
        <w:gridCol w:w="3628"/>
      </w:tblGrid>
      <w:tr>
        <w:trPr>
          <w:tblHeader/>
          <w:cantSplit/>
        </w:trPr>
        <w:tc>
          <w:tcPr>
            <w:tcW w:type="dxa" w:w="2494"/>
            <w:vAlign w:val="center"/>
            <w:shd w:fill="DCE9F4"/>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spacing w:after="40" w:before="0" w:line="269" w:lineRule="auto"/>
            </w:pPr>
            <w:r>
              <w:rPr>
                <w:b/>
                <w:color w:val="000000"/>
                <w:sz w:val="19"/>
              </w:rPr>
              <w:t>端点</w:t>
            </w:r>
          </w:p>
        </w:tc>
        <w:tc>
          <w:tcPr>
            <w:tcW w:type="dxa" w:w="3685"/>
            <w:vAlign w:val="center"/>
            <w:shd w:fill="DCE9F4"/>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spacing w:after="40" w:before="0" w:line="269" w:lineRule="auto"/>
            </w:pPr>
            <w:r>
              <w:rPr>
                <w:b/>
                <w:color w:val="000000"/>
                <w:sz w:val="19"/>
              </w:rPr>
              <w:t>现有或建议用途</w:t>
            </w:r>
          </w:p>
        </w:tc>
        <w:tc>
          <w:tcPr>
            <w:tcW w:type="dxa" w:w="3628"/>
            <w:vAlign w:val="center"/>
            <w:shd w:fill="DCE9F4"/>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spacing w:after="40" w:before="0" w:line="269" w:lineRule="auto"/>
            </w:pPr>
            <w:r>
              <w:rPr>
                <w:b/>
                <w:color w:val="000000"/>
                <w:sz w:val="19"/>
              </w:rPr>
              <w:t>约束</w:t>
            </w:r>
          </w:p>
        </w:tc>
      </w:tr>
      <w:tr>
        <w:trPr>
          <w:cantSplit/>
        </w:trPr>
        <w:tc>
          <w:tcPr>
            <w:tcW w:type="dxa" w:w="2494"/>
            <w:vAlign w:val="cente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before="0" w:line="269" w:lineRule="auto"/>
            </w:pPr>
            <w:r>
              <w:rPr>
                <w:b w:val="0"/>
                <w:color w:val="000000"/>
                <w:sz w:val="19"/>
              </w:rPr>
              <w:t>127.0.0.1:9997/UDP</w:t>
            </w:r>
          </w:p>
        </w:tc>
        <w:tc>
          <w:tcPr>
            <w:tcW w:type="dxa" w:w="3685"/>
            <w:vAlign w:val="cente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before="0" w:line="269" w:lineRule="auto"/>
            </w:pPr>
            <w:r>
              <w:rPr>
                <w:b w:val="0"/>
                <w:color w:val="000000"/>
                <w:sz w:val="19"/>
              </w:rPr>
              <w:t>现有C核心本地命令</w:t>
            </w:r>
          </w:p>
        </w:tc>
        <w:tc>
          <w:tcPr>
            <w:tcW w:type="dxa" w:w="3628"/>
            <w:vAlign w:val="cente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before="0" w:line="269" w:lineRule="auto"/>
            </w:pPr>
            <w:r>
              <w:rPr>
                <w:b w:val="0"/>
                <w:color w:val="000000"/>
                <w:sz w:val="19"/>
              </w:rPr>
              <w:t>接入服务本地调用；不改为无鉴权远程入口</w:t>
            </w:r>
          </w:p>
        </w:tc>
      </w:tr>
      <w:tr>
        <w:trPr>
          <w:cantSplit/>
        </w:trPr>
        <w:tc>
          <w:tcPr>
            <w:tcW w:type="dxa" w:w="2494"/>
            <w:vAlign w:val="center"/>
            <w:shd w:fill="F4F6F8"/>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before="0" w:line="269" w:lineRule="auto"/>
            </w:pPr>
            <w:r>
              <w:rPr>
                <w:b w:val="0"/>
                <w:color w:val="000000"/>
                <w:sz w:val="19"/>
              </w:rPr>
              <w:t>127.0.0.1:9996/UDP</w:t>
            </w:r>
          </w:p>
        </w:tc>
        <w:tc>
          <w:tcPr>
            <w:tcW w:type="dxa" w:w="3685"/>
            <w:vAlign w:val="center"/>
            <w:shd w:fill="F4F6F8"/>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before="0" w:line="269" w:lineRule="auto"/>
            </w:pPr>
            <w:r>
              <w:rPr>
                <w:b w:val="0"/>
                <w:color w:val="000000"/>
                <w:sz w:val="19"/>
              </w:rPr>
              <w:t>现有250 Hz模型状态快照给传感器链</w:t>
            </w:r>
          </w:p>
        </w:tc>
        <w:tc>
          <w:tcPr>
            <w:tcW w:type="dxa" w:w="3628"/>
            <w:vAlign w:val="center"/>
            <w:shd w:fill="F4F6F8"/>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before="0" w:line="269" w:lineRule="auto"/>
            </w:pPr>
            <w:r>
              <w:rPr>
                <w:b w:val="0"/>
                <w:color w:val="000000"/>
                <w:sz w:val="19"/>
              </w:rPr>
              <w:t>单消费者绑定协调；增加订阅分发后才可并行观察</w:t>
            </w:r>
          </w:p>
        </w:tc>
      </w:tr>
      <w:tr>
        <w:trPr>
          <w:cantSplit/>
        </w:trPr>
        <w:tc>
          <w:tcPr>
            <w:tcW w:type="dxa" w:w="2494"/>
            <w:vAlign w:val="cente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before="0" w:line="269" w:lineRule="auto"/>
            </w:pPr>
            <w:r>
              <w:rPr>
                <w:b w:val="0"/>
                <w:color w:val="000000"/>
                <w:sz w:val="19"/>
              </w:rPr>
              <w:t>127.0.0.1:9998/UDP</w:t>
            </w:r>
          </w:p>
        </w:tc>
        <w:tc>
          <w:tcPr>
            <w:tcW w:type="dxa" w:w="3685"/>
            <w:vAlign w:val="cente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before="0" w:line="269" w:lineRule="auto"/>
            </w:pPr>
            <w:r>
              <w:rPr>
                <w:b w:val="0"/>
                <w:color w:val="000000"/>
                <w:sz w:val="19"/>
              </w:rPr>
              <w:t>现有状态转发链</w:t>
            </w:r>
          </w:p>
        </w:tc>
        <w:tc>
          <w:tcPr>
            <w:tcW w:type="dxa" w:w="3628"/>
            <w:vAlign w:val="cente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before="0" w:line="269" w:lineRule="auto"/>
            </w:pPr>
            <w:r>
              <w:rPr>
                <w:b w:val="0"/>
                <w:color w:val="000000"/>
                <w:sz w:val="19"/>
              </w:rPr>
              <w:t>复用服务状态接口，避免新进程抢占同端口</w:t>
            </w:r>
          </w:p>
        </w:tc>
      </w:tr>
      <w:tr>
        <w:trPr>
          <w:cantSplit/>
        </w:trPr>
        <w:tc>
          <w:tcPr>
            <w:tcW w:type="dxa" w:w="2494"/>
            <w:vAlign w:val="center"/>
            <w:shd w:fill="F4F6F8"/>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before="0" w:line="269" w:lineRule="auto"/>
            </w:pPr>
            <w:r>
              <w:rPr>
                <w:b w:val="0"/>
                <w:color w:val="000000"/>
                <w:sz w:val="19"/>
              </w:rPr>
              <w:t>TCP 5000</w:t>
            </w:r>
          </w:p>
        </w:tc>
        <w:tc>
          <w:tcPr>
            <w:tcW w:type="dxa" w:w="3685"/>
            <w:vAlign w:val="center"/>
            <w:shd w:fill="F4F6F8"/>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before="0" w:line="269" w:lineRule="auto"/>
            </w:pPr>
            <w:r>
              <w:rPr>
                <w:b w:val="0"/>
                <w:color w:val="000000"/>
                <w:sz w:val="19"/>
              </w:rPr>
              <w:t>现有V2/V3显示链路，按协议配置选择角色</w:t>
            </w:r>
          </w:p>
        </w:tc>
        <w:tc>
          <w:tcPr>
            <w:tcW w:type="dxa" w:w="3628"/>
            <w:vAlign w:val="center"/>
            <w:shd w:fill="F4F6F8"/>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before="0" w:line="269" w:lineRule="auto"/>
            </w:pPr>
            <w:r>
              <w:rPr>
                <w:b w:val="0"/>
                <w:color w:val="000000"/>
                <w:sz w:val="19"/>
              </w:rPr>
              <w:t>保留独立；禁止发送FLIGHT_TEST_INPUT到显示入口</w:t>
            </w:r>
          </w:p>
        </w:tc>
      </w:tr>
      <w:tr>
        <w:trPr>
          <w:cantSplit/>
        </w:trPr>
        <w:tc>
          <w:tcPr>
            <w:tcW w:type="dxa" w:w="2494"/>
            <w:vAlign w:val="cente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before="0" w:after="40" w:line="269" w:lineRule="auto"/>
            </w:pPr>
            <w:r>
              <w:rPr>
                <w:color w:val="000000"/>
                <w:sz w:val="19"/>
              </w:rPr>
              <w:t>UDP 6001与反馈端点</w:t>
            </w:r>
          </w:p>
        </w:tc>
        <w:tc>
          <w:tcPr>
            <w:tcW w:type="dxa" w:w="3685"/>
            <w:vAlign w:val="cente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before="0" w:after="40" w:line="269" w:lineRule="auto"/>
            </w:pPr>
            <w:r>
              <w:rPr>
                <w:color w:val="000000"/>
                <w:sz w:val="19"/>
              </w:rPr>
              <w:t>建议值、尚未实现；须共同确认是否正式传输</w:t>
            </w:r>
          </w:p>
        </w:tc>
        <w:tc>
          <w:tcPr>
            <w:tcW w:type="dxa" w:w="3628"/>
            <w:vAlign w:val="cente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before="0" w:after="40" w:line="269" w:lineRule="auto"/>
            </w:pPr>
            <w:r>
              <w:rPr>
                <w:color w:val="000000"/>
                <w:sz w:val="19"/>
              </w:rPr>
              <w:t>正式冻结后两类源共用；非正式UDP仅探索，不证明CANFD等价</w:t>
            </w:r>
          </w:p>
        </w:tc>
      </w:tr>
      <w:tr>
        <w:trPr>
          <w:cantSplit/>
        </w:trPr>
        <w:tc>
          <w:tcPr>
            <w:tcW w:type="dxa" w:w="2494"/>
            <w:vAlign w:val="center"/>
            <w:shd w:fill="F4F6F8"/>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before="0" w:line="269" w:lineRule="auto"/>
            </w:pPr>
            <w:r>
              <w:rPr>
                <w:b w:val="0"/>
                <w:color w:val="000000"/>
                <w:sz w:val="19"/>
              </w:rPr>
              <w:t>vcan0/can0/厂家SDK</w:t>
            </w:r>
          </w:p>
        </w:tc>
        <w:tc>
          <w:tcPr>
            <w:tcW w:type="dxa" w:w="3685"/>
            <w:vAlign w:val="center"/>
            <w:shd w:fill="F4F6F8"/>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before="0" w:line="269" w:lineRule="auto"/>
            </w:pPr>
            <w:r>
              <w:rPr>
                <w:b w:val="0"/>
                <w:color w:val="000000"/>
                <w:sz w:val="19"/>
              </w:rPr>
              <w:t>软件或真实CAN接入</w:t>
            </w:r>
          </w:p>
        </w:tc>
        <w:tc>
          <w:tcPr>
            <w:tcW w:type="dxa" w:w="3628"/>
            <w:vAlign w:val="center"/>
            <w:shd w:fill="F4F6F8"/>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before="0" w:line="269" w:lineRule="auto"/>
            </w:pPr>
            <w:r>
              <w:rPr>
                <w:b w:val="0"/>
                <w:color w:val="000000"/>
                <w:sz w:val="19"/>
              </w:rPr>
              <w:t>接口、FD模式、仲裁/数据速率、终端与接线独立配置</w:t>
            </w:r>
          </w:p>
        </w:tc>
      </w:tr>
    </w:tbl>
    <w:p/>
    <w:p>
      <w:pPr>
        <w:widowControl/>
      </w:pPr>
      <w:r>
        <w:t>统一标准接入服务通过既有Python服务或专用发布通道获得状态副本及新增应用事件。不得启动第二个接收器争抢9996端口；不能把UDP端口复用假定为向每个消费者广播。跨主机反馈由同一标准反馈编码器按ICD转发，C核心只监听回环地址。输入探针及事件生产机制属于阶段B/C新增交付，不能以状态快照推测每次输入已生效。</w:t>
      </w:r>
    </w:p>
    <w:p>
      <w:pPr>
        <w:pStyle w:val="4"/>
        <w:keepNext/>
      </w:pPr>
      <w:r>
        <w:rPr>
          <w:color w:val="000000"/>
        </w:rPr>
        <w:t>9.4 分层频率与实时验证</w:t>
      </w:r>
    </w:p>
    <w:tbl>
      <w:tblPr>
        <w:tblW w:type="auto" w:w="0"/>
        <w:jc w:val="center"/>
        <w:tblLayout w:type="fixed"/>
        <w:tblLook w:firstColumn="1" w:firstRow="1" w:lastColumn="0" w:lastRow="0" w:noHBand="0" w:noVBand="1" w:val="04A0"/>
      </w:tblPr>
      <w:tblGrid>
        <w:gridCol w:w="1928"/>
        <w:gridCol w:w="3969"/>
        <w:gridCol w:w="3912"/>
      </w:tblGrid>
      <w:tr>
        <w:trPr>
          <w:tblHeader/>
          <w:cantSplit/>
        </w:trPr>
        <w:tc>
          <w:tcPr>
            <w:tcW w:type="dxa" w:w="1928"/>
            <w:vAlign w:val="center"/>
            <w:shd w:fill="DCE9F4"/>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spacing w:after="40" w:before="0" w:line="269" w:lineRule="auto"/>
            </w:pPr>
            <w:r>
              <w:rPr>
                <w:b/>
                <w:color w:val="000000"/>
                <w:sz w:val="19"/>
              </w:rPr>
              <w:t>数据或任务</w:t>
            </w:r>
          </w:p>
        </w:tc>
        <w:tc>
          <w:tcPr>
            <w:tcW w:type="dxa" w:w="3969"/>
            <w:vAlign w:val="center"/>
            <w:shd w:fill="DCE9F4"/>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spacing w:after="40" w:before="0" w:line="269" w:lineRule="auto"/>
            </w:pPr>
            <w:r>
              <w:rPr>
                <w:b/>
                <w:color w:val="000000"/>
                <w:sz w:val="19"/>
              </w:rPr>
              <w:t>基线与依据</w:t>
            </w:r>
          </w:p>
        </w:tc>
        <w:tc>
          <w:tcPr>
            <w:tcW w:type="dxa" w:w="3912"/>
            <w:vAlign w:val="center"/>
            <w:shd w:fill="DCE9F4"/>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spacing w:after="40" w:before="0" w:line="269" w:lineRule="auto"/>
            </w:pPr>
            <w:r>
              <w:rPr>
                <w:b/>
                <w:color w:val="000000"/>
                <w:sz w:val="19"/>
              </w:rPr>
              <w:t>验证方法</w:t>
            </w:r>
          </w:p>
        </w:tc>
      </w:tr>
      <w:tr>
        <w:trPr>
          <w:cantSplit/>
        </w:trPr>
        <w:tc>
          <w:tcPr>
            <w:tcW w:type="dxa" w:w="1928"/>
            <w:vAlign w:val="cente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before="0" w:line="269" w:lineRule="auto"/>
            </w:pPr>
            <w:r>
              <w:rPr>
                <w:b w:val="0"/>
                <w:color w:val="000000"/>
                <w:sz w:val="19"/>
              </w:rPr>
              <w:t>模型解算</w:t>
            </w:r>
          </w:p>
        </w:tc>
        <w:tc>
          <w:tcPr>
            <w:tcW w:type="dxa" w:w="3969"/>
            <w:vAlign w:val="cente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before="0" w:line="269" w:lineRule="auto"/>
            </w:pPr>
            <w:r>
              <w:rPr>
                <w:b w:val="0"/>
                <w:color w:val="000000"/>
                <w:sz w:val="19"/>
              </w:rPr>
              <w:t>标书1 ms±10 μs；当前C步长1 ms</w:t>
            </w:r>
          </w:p>
        </w:tc>
        <w:tc>
          <w:tcPr>
            <w:tcW w:type="dxa" w:w="3912"/>
            <w:vAlign w:val="cente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before="0" w:line="269" w:lineRule="auto"/>
            </w:pPr>
            <w:r>
              <w:rPr>
                <w:b w:val="0"/>
                <w:color w:val="000000"/>
                <w:sz w:val="19"/>
              </w:rPr>
              <w:t>目标实时系统逐周期测量；周期和执行时长分别统计</w:t>
            </w:r>
          </w:p>
        </w:tc>
      </w:tr>
      <w:tr>
        <w:trPr>
          <w:cantSplit/>
        </w:trPr>
        <w:tc>
          <w:tcPr>
            <w:tcW w:type="dxa" w:w="1928"/>
            <w:vAlign w:val="center"/>
            <w:shd w:fill="F4F6F8"/>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before="0" w:line="269" w:lineRule="auto"/>
            </w:pPr>
            <w:r>
              <w:rPr>
                <w:b w:val="0"/>
                <w:color w:val="000000"/>
                <w:sz w:val="19"/>
              </w:rPr>
              <w:t>传感器快照</w:t>
            </w:r>
          </w:p>
        </w:tc>
        <w:tc>
          <w:tcPr>
            <w:tcW w:type="dxa" w:w="3969"/>
            <w:vAlign w:val="center"/>
            <w:shd w:fill="F4F6F8"/>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before="0" w:line="269" w:lineRule="auto"/>
            </w:pPr>
            <w:r>
              <w:rPr>
                <w:b w:val="0"/>
                <w:color w:val="000000"/>
                <w:sz w:val="19"/>
              </w:rPr>
              <w:t>当前250 Hz/4 ms，供虚拟传感器链</w:t>
            </w:r>
          </w:p>
        </w:tc>
        <w:tc>
          <w:tcPr>
            <w:tcW w:type="dxa" w:w="3912"/>
            <w:vAlign w:val="center"/>
            <w:shd w:fill="F4F6F8"/>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before="0" w:line="269" w:lineRule="auto"/>
            </w:pPr>
            <w:r>
              <w:rPr>
                <w:b w:val="0"/>
                <w:color w:val="000000"/>
                <w:sz w:val="19"/>
              </w:rPr>
              <w:t>状态序号与sim_time；实测发布间隔和丢失</w:t>
            </w:r>
          </w:p>
        </w:tc>
      </w:tr>
      <w:tr>
        <w:trPr>
          <w:cantSplit/>
        </w:trPr>
        <w:tc>
          <w:tcPr>
            <w:tcW w:type="dxa" w:w="1928"/>
            <w:vAlign w:val="cente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before="0" w:line="269" w:lineRule="auto"/>
            </w:pPr>
            <w:r>
              <w:rPr>
                <w:b w:val="0"/>
                <w:color w:val="000000"/>
                <w:sz w:val="19"/>
              </w:rPr>
              <w:t>执行器命令</w:t>
            </w:r>
          </w:p>
        </w:tc>
        <w:tc>
          <w:tcPr>
            <w:tcW w:type="dxa" w:w="3969"/>
            <w:vAlign w:val="cente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before="0" w:line="269" w:lineRule="auto"/>
            </w:pPr>
            <w:r>
              <w:rPr>
                <w:b w:val="0"/>
                <w:color w:val="000000"/>
                <w:sz w:val="19"/>
              </w:rPr>
              <w:t>当前虚拟飞控默认250 Hz；按模型和ICD调整</w:t>
            </w:r>
          </w:p>
        </w:tc>
        <w:tc>
          <w:tcPr>
            <w:tcW w:type="dxa" w:w="3912"/>
            <w:vAlign w:val="cente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before="0" w:line="269" w:lineRule="auto"/>
            </w:pPr>
            <w:r>
              <w:rPr>
                <w:b w:val="0"/>
                <w:color w:val="000000"/>
                <w:sz w:val="19"/>
              </w:rPr>
              <w:t>接入有效期、实际到达间隔、超时安全行为</w:t>
            </w:r>
          </w:p>
        </w:tc>
      </w:tr>
      <w:tr>
        <w:trPr>
          <w:cantSplit/>
        </w:trPr>
        <w:tc>
          <w:tcPr>
            <w:tcW w:type="dxa" w:w="1928"/>
            <w:vAlign w:val="center"/>
            <w:shd w:fill="F4F6F8"/>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before="0" w:line="269" w:lineRule="auto"/>
            </w:pPr>
            <w:r>
              <w:rPr>
                <w:b w:val="0"/>
                <w:color w:val="000000"/>
                <w:sz w:val="19"/>
              </w:rPr>
              <w:t>任务/环境更新</w:t>
            </w:r>
          </w:p>
        </w:tc>
        <w:tc>
          <w:tcPr>
            <w:tcW w:type="dxa" w:w="3969"/>
            <w:vAlign w:val="center"/>
            <w:shd w:fill="F4F6F8"/>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before="0" w:line="269" w:lineRule="auto"/>
            </w:pPr>
            <w:r>
              <w:rPr>
                <w:b w:val="0"/>
                <w:color w:val="000000"/>
                <w:sz w:val="19"/>
              </w:rPr>
              <w:t>建议10/20 ms起步；按消息语义冻结</w:t>
            </w:r>
          </w:p>
        </w:tc>
        <w:tc>
          <w:tcPr>
            <w:tcW w:type="dxa" w:w="3912"/>
            <w:vAlign w:val="center"/>
            <w:shd w:fill="F4F6F8"/>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before="0" w:line="269" w:lineRule="auto"/>
            </w:pPr>
            <w:r>
              <w:rPr>
                <w:b w:val="0"/>
                <w:color w:val="000000"/>
                <w:sz w:val="19"/>
              </w:rPr>
              <w:t>发送—接收—生效时间；动态内容变化与限幅</w:t>
            </w:r>
          </w:p>
        </w:tc>
      </w:tr>
      <w:tr>
        <w:trPr>
          <w:cantSplit/>
        </w:trPr>
        <w:tc>
          <w:tcPr>
            <w:tcW w:type="dxa" w:w="1928"/>
            <w:vAlign w:val="cente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before="0" w:line="269" w:lineRule="auto"/>
            </w:pPr>
            <w:r>
              <w:rPr>
                <w:b w:val="0"/>
                <w:color w:val="000000"/>
                <w:sz w:val="19"/>
              </w:rPr>
              <w:t>显示状态</w:t>
            </w:r>
          </w:p>
        </w:tc>
        <w:tc>
          <w:tcPr>
            <w:tcW w:type="dxa" w:w="3969"/>
            <w:vAlign w:val="cente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before="0" w:line="269" w:lineRule="auto"/>
            </w:pPr>
            <w:r>
              <w:rPr>
                <w:b w:val="0"/>
                <w:color w:val="000000"/>
                <w:sz w:val="19"/>
              </w:rPr>
              <w:t>当前50 Hz/20 ms</w:t>
            </w:r>
          </w:p>
        </w:tc>
        <w:tc>
          <w:tcPr>
            <w:tcW w:type="dxa" w:w="3912"/>
            <w:vAlign w:val="cente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before="0" w:line="269" w:lineRule="auto"/>
            </w:pPr>
            <w:r>
              <w:rPr>
                <w:b w:val="0"/>
                <w:color w:val="000000"/>
                <w:sz w:val="19"/>
              </w:rPr>
              <w:t>验证协议和显示频率；与模型周期分开</w:t>
            </w:r>
          </w:p>
        </w:tc>
      </w:tr>
      <w:tr>
        <w:trPr>
          <w:cantSplit/>
        </w:trPr>
        <w:tc>
          <w:tcPr>
            <w:tcW w:type="dxa" w:w="1928"/>
            <w:vAlign w:val="center"/>
            <w:shd w:fill="F4F6F8"/>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before="0" w:line="269" w:lineRule="auto"/>
            </w:pPr>
            <w:r>
              <w:rPr>
                <w:b w:val="0"/>
                <w:color w:val="000000"/>
                <w:sz w:val="19"/>
              </w:rPr>
              <w:t>综合测试通信</w:t>
            </w:r>
          </w:p>
        </w:tc>
        <w:tc>
          <w:tcPr>
            <w:tcW w:type="dxa" w:w="3969"/>
            <w:vAlign w:val="center"/>
            <w:shd w:fill="F4F6F8"/>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before="0" w:line="269" w:lineRule="auto"/>
            </w:pPr>
            <w:r>
              <w:rPr>
                <w:b w:val="0"/>
                <w:color w:val="000000"/>
                <w:sz w:val="19"/>
              </w:rPr>
              <w:t>标书80 ms±1 ms；设计周期1 ms～10 s</w:t>
            </w:r>
          </w:p>
        </w:tc>
        <w:tc>
          <w:tcPr>
            <w:tcW w:type="dxa" w:w="3912"/>
            <w:vAlign w:val="center"/>
            <w:shd w:fill="F4F6F8"/>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before="0" w:line="269" w:lineRule="auto"/>
            </w:pPr>
            <w:r>
              <w:rPr>
                <w:b w:val="0"/>
                <w:color w:val="000000"/>
                <w:sz w:val="19"/>
              </w:rPr>
              <w:t>明确对应流与端点后，在代表负载下实测</w:t>
            </w:r>
          </w:p>
        </w:tc>
      </w:tr>
      <w:tr>
        <w:trPr>
          <w:cantSplit/>
        </w:trPr>
        <w:tc>
          <w:tcPr>
            <w:tcW w:type="dxa" w:w="1928"/>
            <w:vAlign w:val="cente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before="0" w:line="269" w:lineRule="auto"/>
            </w:pPr>
            <w:r>
              <w:rPr>
                <w:b w:val="0"/>
                <w:color w:val="000000"/>
                <w:sz w:val="19"/>
              </w:rPr>
              <w:t>图像调度/视频</w:t>
            </w:r>
          </w:p>
        </w:tc>
        <w:tc>
          <w:tcPr>
            <w:tcW w:type="dxa" w:w="3969"/>
            <w:vAlign w:val="cente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before="0" w:line="269" w:lineRule="auto"/>
            </w:pPr>
            <w:r>
              <w:rPr>
                <w:b w:val="0"/>
                <w:color w:val="000000"/>
                <w:sz w:val="19"/>
              </w:rPr>
              <w:t>设备10 ms±0.1 ms；视频如30 fps为另一周期</w:t>
            </w:r>
          </w:p>
        </w:tc>
        <w:tc>
          <w:tcPr>
            <w:tcW w:type="dxa" w:w="3912"/>
            <w:vAlign w:val="cente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before="0" w:line="269" w:lineRule="auto"/>
            </w:pPr>
            <w:r>
              <w:rPr>
                <w:b w:val="0"/>
                <w:color w:val="000000"/>
                <w:sz w:val="19"/>
              </w:rPr>
              <w:t>分别测调度周期、帧PTS、仿真对齐与算法完成</w:t>
            </w:r>
          </w:p>
        </w:tc>
      </w:tr>
    </w:tbl>
    <w:p/>
    <w:p>
      <w:pPr>
        <w:widowControl/>
      </w:pPr>
      <w:r>
        <w:t>SocketCAN静态周期帧可用内核BCM调度。Python场景线程、Scapy或GUI发包不作为1 ms硬实时保证。1 ms±10 μs的测量定义、持续时间、负载和允许超差处理写入买方认可验收大纲；报告保留最小、最大、P50/P95/P99及全量超差，不仅报告平均值。当前代码统计还含250 μs阈值，不能以此替代标书10 μs指标。</w:t>
      </w:r>
    </w:p>
    <w:p>
      <w:pPr>
        <w:pStyle w:val="4"/>
        <w:keepNext/>
      </w:pPr>
      <w:r>
        <w:rPr>
          <w:color w:val="000000"/>
        </w:rPr>
        <w:t>9.5 最小落地与运行顺序</w:t>
      </w:r>
    </w:p>
    <w:p>
      <w:pPr>
        <w:widowControl/>
      </w:pPr>
      <w:r>
        <w:t>步骤1：共同冻结正式ICD、传输配置和接口覆盖清单，首轮用例可取已冻结子集；核对模型契约真实字段。步骤2：锁定依赖并完成目标运行时验证。步骤3：实现统一标准接入及HIL内部映射，贯通标准反馈与模型应用证据，不建立模拟专用接口。</w:t>
      </w:r>
    </w:p>
    <w:p>
      <w:pPr>
        <w:widowControl/>
      </w:pPr>
      <w:r>
        <w:t>步骤4：运行T01/T02/T05/T06，再加入闭环、多通道、监控和视频；执行第9.12节L01～L10逐链路用例并留存接收、应用和响应证据。步骤5：在阶段D以模拟器验证选定真实链路与全部必选消息，冻结3.6发布包和配置白名单。步骤6：真实3.3按同一ICD完成符合性测试后，仅配置切换并执行T14及同版L系列用例；校验代码、库和协议定义哈希均未改变。</w:t>
      </w:r>
    </w:p>
    <w:p>
      <w:pPr>
        <w:widowControl/>
      </w:pPr>
      <w:r>
        <w:t>vcan建链命令如下，仅用于已确认具备vcan模块的Linux测试主机；FD配置需结合锁定内核验证。该段只创建接口，不代表接入服务或HIL映射已经实现。</w:t>
      </w:r>
    </w:p>
    <w:p>
      <w:pPr>
        <w:keepNext/>
        <w:keepLines/>
        <w:widowControl/>
        <w:spacing w:after="0" w:line="240" w:lineRule="auto"/>
      </w:pPr>
      <w:r>
        <w:rPr>
          <w:rFonts w:ascii="Consolas" w:hAnsi="Consolas"/>
          <w:sz w:val="17"/>
        </w:rPr>
        <w:t>sudo modprobe vcan</w:t>
      </w:r>
    </w:p>
    <w:p>
      <w:pPr>
        <w:keepNext/>
        <w:keepLines/>
        <w:widowControl/>
        <w:spacing w:after="0" w:line="240" w:lineRule="auto"/>
      </w:pPr>
      <w:r>
        <w:rPr>
          <w:rFonts w:ascii="Consolas" w:hAnsi="Consolas"/>
          <w:sz w:val="17"/>
        </w:rPr>
        <w:t>sudo ip link add dev vcan0 type vcan</w:t>
      </w:r>
    </w:p>
    <w:p>
      <w:pPr>
        <w:keepNext/>
        <w:keepLines/>
        <w:widowControl/>
        <w:spacing w:after="0" w:line="240" w:lineRule="auto"/>
      </w:pPr>
      <w:r>
        <w:rPr>
          <w:rFonts w:ascii="Consolas" w:hAnsi="Consolas"/>
          <w:sz w:val="17"/>
        </w:rPr>
        <w:t>sudo ip link set vcan0 mtu 72</w:t>
      </w:r>
    </w:p>
    <w:p>
      <w:pPr>
        <w:keepNext/>
        <w:keepLines/>
        <w:widowControl/>
        <w:spacing w:after="0" w:line="240" w:lineRule="auto"/>
      </w:pPr>
      <w:r>
        <w:rPr>
          <w:rFonts w:ascii="Consolas" w:hAnsi="Consolas"/>
          <w:sz w:val="17"/>
        </w:rPr>
        <w:t>sudo ip link set vcan0 up</w:t>
      </w:r>
    </w:p>
    <w:p>
      <w:pPr>
        <w:keepNext/>
        <w:keepLines/>
        <w:widowControl/>
        <w:spacing w:after="0" w:line="240" w:lineRule="auto"/>
      </w:pPr>
      <w:r>
        <w:rPr>
          <w:rFonts w:ascii="Consolas" w:hAnsi="Consolas"/>
          <w:sz w:val="17"/>
        </w:rPr>
        <w:t>ip -details link show vcan0</w:t>
      </w:r>
    </w:p>
    <w:p>
      <w:pPr>
        <w:keepNext w:val="0"/>
        <w:keepLines/>
        <w:widowControl/>
        <w:spacing w:after="0" w:line="240" w:lineRule="auto"/>
      </w:pPr>
      <w:r>
        <w:rPr>
          <w:rFonts w:ascii="Consolas" w:hAnsi="Consolas"/>
          <w:sz w:val="17"/>
        </w:rPr>
        <w:t>candump vcan0</w:t>
      </w:r>
    </w:p>
    <w:p>
      <w:pPr>
        <w:widowControl/>
      </w:pPr>
      <w:r>
        <w:t>以太网按正式ICD选用已验证Scapy/Ostinato、UDP socket或对应业务客户端，工具不因统一管理而强制替换。正式消息进入与真实3.3共用的标准接入与冻结映射，非正式UDP只能用于探索。回放是否改写地址或重建会话由第9.10节条件决定。正式TCP业务必须使用有实际连接与交互能力的发送实现；不能以原样PCAP喷流替代，亦不能将TCP写成所有链路的必选传输。</w:t>
      </w:r>
    </w:p>
    <w:p>
      <w:pPr>
        <w:pStyle w:val="4"/>
        <w:keepNext/>
      </w:pPr>
      <w:r>
        <w:rPr>
          <w:color w:val="000000"/>
        </w:rPr>
        <w:t>9.6 图像注入与物理I/O的独立补全</w:t>
      </w:r>
    </w:p>
    <w:p>
      <w:pPr>
        <w:widowControl/>
      </w:pPr>
      <w:r>
        <w:t>视频注入服务加载H.264/H.265/RAW或实时源，保留资源哈希、分辨率、帧率和标注版本。每帧关联run_id、video_frame_id、sim_time_us和PTS；触发模式覆盖手动、周期和仿真事件。SEI仅适用于定义的编码流，RAW采用配套元数据；接收端须验证时间关联，不能仅凭发送日志确认算法收到图像。</w:t>
      </w:r>
    </w:p>
    <w:p>
      <w:pPr>
        <w:widowControl/>
      </w:pPr>
      <w:r>
        <w:t>订阅模型仿真时钟，暂停时冻结视频时间，重置时建立新会话。丢帧、重复帧、迟到帧采用冻结策略并记录，算法处理完成需回传结果。未实现视频服务时，可先模拟触发与完成元数据，但交付状态标记为接口模拟；实际视频传输和同步422/车载以太网接口在阶段D验证。</w:t>
      </w:r>
    </w:p>
    <w:p>
      <w:pPr>
        <w:widowControl/>
      </w:pPr>
      <w:r>
        <w:t>串口先使用成对虚拟串口或PTY校验编解码，再以实际RS232/RS422验证电平、时序和最高速率。AD/DA/IO软件阶段提供工程量和通道映射，阶段D使用板卡、调理模块及校准仪器逐通道测量。软件更新频率不等于AD采样率或DA转换时间，回归中分别记录。</w:t>
      </w:r>
    </w:p>
    <w:p>
      <w:pPr>
        <w:pStyle w:val="4"/>
        <w:keepNext/>
        <w:widowControl/>
      </w:pPr>
      <w:r>
        <w:rPr>
          <w:color w:val="000000"/>
        </w:rPr>
        <w:t>9.7 输入资源与交付包绑定</w:t>
      </w:r>
    </w:p>
    <w:p>
      <w:pPr>
        <w:widowControl/>
      </w:pPr>
      <w:r>
        <w:t>每个测试包以package_manifest.json绑定正式ICD、场景、模型契约、通道表、映射表、回放资源及用例版本，逐文件记录哈希。模拟器启动先校验必需文件和版本；未知格式、缺失消息、冲突通道、映射不存在或哈希不一致时进入BLOCKED，不启动发送。三类资源可组合使用，不要求一一对应三条独立物理链路。</w:t>
      </w:r>
    </w:p>
    <w:tbl>
      <w:tblPr>
        <w:tblW w:type="auto" w:w="0"/>
        <w:jc w:val="center"/>
        <w:tblLayout w:type="fixed"/>
        <w:tblLook w:firstColumn="1" w:firstRow="1" w:lastColumn="0" w:lastRow="0" w:noHBand="0" w:noVBand="1" w:val="04A0"/>
      </w:tblPr>
      <w:tblGrid>
        <w:gridCol w:w="1928"/>
        <w:gridCol w:w="4025"/>
        <w:gridCol w:w="3685"/>
      </w:tblGrid>
      <w:tr>
        <w:trPr>
          <w:cantSplit/>
          <w:tblHeader/>
        </w:trPr>
        <w:tc>
          <w:tcPr>
            <w:tcW w:type="dxa" w:w="1928"/>
            <w:vAlign w:val="center"/>
            <w:shd w:fill="DCE9F4"/>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spacing w:before="0" w:after="40" w:line="269" w:lineRule="auto"/>
            </w:pPr>
            <w:r>
              <w:rPr>
                <w:rFonts w:ascii="Microsoft YaHei" w:hAnsi="Microsoft YaHei"/>
                <w:b/>
                <w:color w:val="000000"/>
                <w:sz w:val="19"/>
              </w:rPr>
              <w:t>资源或文件</w:t>
            </w:r>
          </w:p>
        </w:tc>
        <w:tc>
          <w:tcPr>
            <w:tcW w:type="dxa" w:w="4025"/>
            <w:vAlign w:val="center"/>
            <w:shd w:fill="DCE9F4"/>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spacing w:before="0" w:after="40" w:line="269" w:lineRule="auto"/>
            </w:pPr>
            <w:r>
              <w:rPr>
                <w:rFonts w:ascii="Microsoft YaHei" w:hAnsi="Microsoft YaHei"/>
                <w:b/>
                <w:color w:val="000000"/>
                <w:sz w:val="19"/>
              </w:rPr>
              <w:t>必需内容</w:t>
            </w:r>
          </w:p>
        </w:tc>
        <w:tc>
          <w:tcPr>
            <w:tcW w:type="dxa" w:w="3685"/>
            <w:vAlign w:val="center"/>
            <w:shd w:fill="DCE9F4"/>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spacing w:before="0" w:after="40" w:line="269" w:lineRule="auto"/>
            </w:pPr>
            <w:r>
              <w:rPr>
                <w:rFonts w:ascii="Microsoft YaHei" w:hAnsi="Microsoft YaHei"/>
                <w:b/>
                <w:color w:val="000000"/>
                <w:sz w:val="19"/>
              </w:rPr>
              <w:t>启动校验</w:t>
            </w:r>
          </w:p>
        </w:tc>
      </w:tr>
      <w:tr>
        <w:trPr>
          <w:cantSplit/>
        </w:trPr>
        <w:tc>
          <w:tcPr>
            <w:tcW w:type="dxa" w:w="1928"/>
            <w:vAlign w:val="cente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before="0" w:after="40" w:line="269" w:lineRule="auto"/>
            </w:pPr>
            <w:r>
              <w:rPr>
                <w:rFonts w:ascii="Microsoft YaHei" w:hAnsi="Microsoft YaHei"/>
                <w:b w:val="0"/>
                <w:color w:val="000000"/>
                <w:sz w:val="19"/>
              </w:rPr>
              <w:t>协议定义</w:t>
            </w:r>
          </w:p>
        </w:tc>
        <w:tc>
          <w:tcPr>
            <w:tcW w:type="dxa" w:w="4025"/>
            <w:vAlign w:val="cente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before="0" w:after="40" w:line="269" w:lineRule="auto"/>
            </w:pPr>
            <w:r>
              <w:rPr>
                <w:rFonts w:ascii="Microsoft YaHei" w:hAnsi="Microsoft YaHei"/>
                <w:b w:val="0"/>
                <w:color w:val="000000"/>
                <w:sz w:val="19"/>
              </w:rPr>
              <w:t>ICD版本、消息索引、DBC/schema/ARXML及反馈定义</w:t>
            </w:r>
          </w:p>
        </w:tc>
        <w:tc>
          <w:tcPr>
            <w:tcW w:type="dxa" w:w="3685"/>
            <w:vAlign w:val="cente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before="0" w:after="40" w:line="269" w:lineRule="auto"/>
            </w:pPr>
            <w:r>
              <w:rPr>
                <w:rFonts w:ascii="Microsoft YaHei" w:hAnsi="Microsoft YaHei"/>
                <w:b w:val="0"/>
                <w:color w:val="000000"/>
                <w:sz w:val="19"/>
              </w:rPr>
              <w:t>全部必选消息可解码；格式支持范围与测试向量一致</w:t>
            </w:r>
          </w:p>
        </w:tc>
      </w:tr>
      <w:tr>
        <w:trPr>
          <w:cantSplit/>
        </w:trPr>
        <w:tc>
          <w:tcPr>
            <w:tcW w:type="dxa" w:w="1928"/>
            <w:vAlign w:val="center"/>
            <w:shd w:fill="F4F6F8"/>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before="0" w:after="40" w:line="269" w:lineRule="auto"/>
            </w:pPr>
            <w:r>
              <w:rPr>
                <w:rFonts w:ascii="Microsoft YaHei" w:hAnsi="Microsoft YaHei"/>
                <w:b w:val="0"/>
                <w:color w:val="000000"/>
                <w:sz w:val="19"/>
              </w:rPr>
              <w:t>scenario.json / yaml</w:t>
            </w:r>
          </w:p>
        </w:tc>
        <w:tc>
          <w:tcPr>
            <w:tcW w:type="dxa" w:w="4025"/>
            <w:vAlign w:val="center"/>
            <w:shd w:fill="F4F6F8"/>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before="0" w:after="40" w:line="269" w:lineRule="auto"/>
            </w:pPr>
            <w:r>
              <w:rPr>
                <w:rFonts w:ascii="Microsoft YaHei" w:hAnsi="Microsoft YaHei"/>
                <w:b w:val="0"/>
                <w:color w:val="000000"/>
                <w:sz w:val="19"/>
              </w:rPr>
              <w:t>动态值、时间事件、反馈条件、超时和断言</w:t>
            </w:r>
          </w:p>
        </w:tc>
        <w:tc>
          <w:tcPr>
            <w:tcW w:type="dxa" w:w="3685"/>
            <w:vAlign w:val="center"/>
            <w:shd w:fill="F4F6F8"/>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before="0" w:after="40" w:line="269" w:lineRule="auto"/>
            </w:pPr>
            <w:r>
              <w:rPr>
                <w:rFonts w:ascii="Microsoft YaHei" w:hAnsi="Microsoft YaHei"/>
                <w:b w:val="0"/>
                <w:color w:val="000000"/>
                <w:sz w:val="19"/>
              </w:rPr>
              <w:t>JSON Schema验证；引用的消息、信号及单位存在</w:t>
            </w:r>
          </w:p>
        </w:tc>
      </w:tr>
      <w:tr>
        <w:trPr>
          <w:cantSplit/>
        </w:trPr>
        <w:tc>
          <w:tcPr>
            <w:tcW w:type="dxa" w:w="1928"/>
            <w:vAlign w:val="cente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before="0" w:after="40" w:line="269" w:lineRule="auto"/>
            </w:pPr>
            <w:r>
              <w:rPr>
                <w:rFonts w:ascii="Microsoft YaHei" w:hAnsi="Microsoft YaHei"/>
                <w:b w:val="0"/>
                <w:color w:val="000000"/>
                <w:sz w:val="19"/>
              </w:rPr>
              <w:t>历史记录</w:t>
            </w:r>
          </w:p>
        </w:tc>
        <w:tc>
          <w:tcPr>
            <w:tcW w:type="dxa" w:w="4025"/>
            <w:vAlign w:val="cente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before="0" w:after="40" w:line="269" w:lineRule="auto"/>
            </w:pPr>
            <w:r>
              <w:rPr>
                <w:rFonts w:ascii="Microsoft YaHei" w:hAnsi="Microsoft YaHei"/>
                <w:b w:val="0"/>
                <w:color w:val="000000"/>
                <w:sz w:val="19"/>
              </w:rPr>
              <w:t>PCAP/PCAPNG或CAN日志；原通道、方向、时间域</w:t>
            </w:r>
          </w:p>
        </w:tc>
        <w:tc>
          <w:tcPr>
            <w:tcW w:type="dxa" w:w="3685"/>
            <w:vAlign w:val="cente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before="0" w:after="40" w:line="269" w:lineRule="auto"/>
            </w:pPr>
            <w:r>
              <w:rPr>
                <w:rFonts w:ascii="Microsoft YaHei" w:hAnsi="Microsoft YaHei"/>
                <w:b w:val="0"/>
                <w:color w:val="000000"/>
                <w:sz w:val="19"/>
              </w:rPr>
              <w:t>检查捕获类型、截断、丢失标记、协议版本及可用范围</w:t>
            </w:r>
          </w:p>
        </w:tc>
      </w:tr>
      <w:tr>
        <w:trPr>
          <w:cantSplit/>
        </w:trPr>
        <w:tc>
          <w:tcPr>
            <w:tcW w:type="dxa" w:w="1928"/>
            <w:vAlign w:val="center"/>
            <w:shd w:fill="F4F6F8"/>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before="0" w:after="40" w:line="269" w:lineRule="auto"/>
            </w:pPr>
            <w:r>
              <w:rPr>
                <w:rFonts w:ascii="Microsoft YaHei" w:hAnsi="Microsoft YaHei"/>
                <w:b w:val="0"/>
                <w:color w:val="000000"/>
                <w:sz w:val="19"/>
              </w:rPr>
              <w:t>transport-profile.json</w:t>
            </w:r>
          </w:p>
        </w:tc>
        <w:tc>
          <w:tcPr>
            <w:tcW w:type="dxa" w:w="4025"/>
            <w:vAlign w:val="center"/>
            <w:shd w:fill="F4F6F8"/>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before="0" w:after="40" w:line="269" w:lineRule="auto"/>
            </w:pPr>
            <w:r>
              <w:rPr>
                <w:rFonts w:ascii="Microsoft YaHei" w:hAnsi="Microsoft YaHei"/>
                <w:b w:val="0"/>
                <w:color w:val="000000"/>
                <w:sz w:val="19"/>
              </w:rPr>
              <w:t>正式传输、通道、速率、地址绑定、反馈路由和驱动</w:t>
            </w:r>
          </w:p>
        </w:tc>
        <w:tc>
          <w:tcPr>
            <w:tcW w:type="dxa" w:w="3685"/>
            <w:vAlign w:val="center"/>
            <w:shd w:fill="F4F6F8"/>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before="0" w:after="40" w:line="269" w:lineRule="auto"/>
            </w:pPr>
            <w:r>
              <w:rPr>
                <w:rFonts w:ascii="Microsoft YaHei" w:hAnsi="Microsoft YaHei"/>
                <w:b w:val="0"/>
                <w:color w:val="000000"/>
                <w:sz w:val="19"/>
              </w:rPr>
              <w:t>与签署配置一致；驱动及通道已验证且无端口冲突</w:t>
            </w:r>
          </w:p>
        </w:tc>
      </w:tr>
      <w:tr>
        <w:trPr>
          <w:cantSplit/>
        </w:trPr>
        <w:tc>
          <w:tcPr>
            <w:tcW w:type="dxa" w:w="1928"/>
            <w:vAlign w:val="cente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before="0" w:after="40" w:line="269" w:lineRule="auto"/>
            </w:pPr>
            <w:r>
              <w:rPr>
                <w:rFonts w:ascii="Microsoft YaHei" w:hAnsi="Microsoft YaHei"/>
                <w:b w:val="0"/>
                <w:color w:val="000000"/>
                <w:sz w:val="19"/>
              </w:rPr>
              <w:t>signal-map.csv</w:t>
            </w:r>
          </w:p>
        </w:tc>
        <w:tc>
          <w:tcPr>
            <w:tcW w:type="dxa" w:w="4025"/>
            <w:vAlign w:val="cente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before="0" w:after="40" w:line="269" w:lineRule="auto"/>
            </w:pPr>
            <w:r>
              <w:rPr>
                <w:rFonts w:ascii="Microsoft YaHei" w:hAnsi="Microsoft YaHei"/>
                <w:b w:val="0"/>
                <w:color w:val="000000"/>
                <w:sz w:val="19"/>
              </w:rPr>
              <w:t>外部信号到模型/控制器路径、转换、失效及探针</w:t>
            </w:r>
          </w:p>
        </w:tc>
        <w:tc>
          <w:tcPr>
            <w:tcW w:type="dxa" w:w="3685"/>
            <w:vAlign w:val="cente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before="0" w:after="40" w:line="269" w:lineRule="auto"/>
            </w:pPr>
            <w:r>
              <w:rPr>
                <w:rFonts w:ascii="Microsoft YaHei" w:hAnsi="Microsoft YaHei"/>
                <w:b w:val="0"/>
                <w:color w:val="000000"/>
                <w:sz w:val="19"/>
              </w:rPr>
              <w:t>模型契约字段、类型维度、控制权限和原子组一致</w:t>
            </w:r>
          </w:p>
        </w:tc>
      </w:tr>
      <w:tr>
        <w:trPr>
          <w:cantSplit/>
        </w:trPr>
        <w:tc>
          <w:tcPr>
            <w:tcW w:type="dxa" w:w="1928"/>
            <w:vAlign w:val="center"/>
            <w:shd w:fill="F4F6F8"/>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before="0" w:after="40" w:line="269" w:lineRule="auto"/>
            </w:pPr>
            <w:r>
              <w:rPr>
                <w:rFonts w:ascii="Microsoft YaHei" w:hAnsi="Microsoft YaHei"/>
                <w:b w:val="0"/>
                <w:color w:val="000000"/>
                <w:sz w:val="19"/>
              </w:rPr>
              <w:t>case-suite.json</w:t>
            </w:r>
          </w:p>
        </w:tc>
        <w:tc>
          <w:tcPr>
            <w:tcW w:type="dxa" w:w="4025"/>
            <w:vAlign w:val="center"/>
            <w:shd w:fill="F4F6F8"/>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before="0" w:after="40" w:line="269" w:lineRule="auto"/>
            </w:pPr>
            <w:r>
              <w:rPr>
                <w:rFonts w:ascii="Microsoft YaHei" w:hAnsi="Microsoft YaHei"/>
                <w:b w:val="0"/>
                <w:color w:val="000000"/>
                <w:sz w:val="19"/>
              </w:rPr>
              <w:t>L/T用例、覆盖清单、参考值、阈值和清理规则</w:t>
            </w:r>
          </w:p>
        </w:tc>
        <w:tc>
          <w:tcPr>
            <w:tcW w:type="dxa" w:w="3685"/>
            <w:vAlign w:val="center"/>
            <w:shd w:fill="F4F6F8"/>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before="0" w:after="40" w:line="269" w:lineRule="auto"/>
            </w:pPr>
            <w:r>
              <w:rPr>
                <w:rFonts w:ascii="Microsoft YaHei" w:hAnsi="Microsoft YaHei"/>
                <w:b w:val="0"/>
                <w:color w:val="000000"/>
                <w:sz w:val="19"/>
              </w:rPr>
              <w:t>无必选覆盖遗漏；无未定义容差或隐式跳过</w:t>
            </w:r>
          </w:p>
        </w:tc>
      </w:tr>
    </w:tbl>
    <w:p>
      <w:pPr>
        <w:widowControl/>
      </w:pPr>
    </w:p>
    <w:p>
      <w:pPr>
        <w:widowControl/>
      </w:pPr>
      <w:r>
        <w:t>以上文件名是拟交付的内部配置结构，不是发送给3.6的新私有协议。模拟器内部可使用不同资源格式；线上消息仍完全服从共同ICD。DBC优先作为CAN信号数据库；ARXML仅启用锁定工具版本已验证的文件版本、CAN通信及复用/容器子集，不支持的构造明确拒绝。ARXML以太网定义不能直接当作CAN数据库发送。</w:t>
      </w:r>
    </w:p>
    <w:p>
      <w:pPr>
        <w:widowControl/>
      </w:pPr>
      <w:r>
        <w:t>协议加载器输出只读消息索引与编码配置，不直接产生动态激励。每条必选消息至少配置方向、正式传输、消息标识、周期/事件策略、关联键、会话规则、有效期、控制角色、反馈和模型映射。场景值和历史值都要经过此索引检查；不得自动补零或猜测未知字段。</w:t>
      </w:r>
    </w:p>
    <w:p>
      <w:pPr>
        <w:pStyle w:val="4"/>
        <w:keepNext/>
        <w:widowControl/>
      </w:pPr>
      <w:r>
        <w:rPr>
          <w:color w:val="000000"/>
        </w:rPr>
        <w:t>9.8 协议定义驱动的CAN与CANFD链路</w:t>
      </w:r>
    </w:p>
    <w:p>
      <w:pPr>
        <w:widowControl/>
      </w:pPr>
      <w:r>
        <w:t>正向流程：加载共同DBC/已验证ARXML子集及应用ICD → 从场景或工程量序列取值 → 校验类型、单位、范围与复用分支 → 按标准帧/扩展帧、长度及FD配置编码 → 生成ICD规定的计数器和应用校验 → 由python-can或已验证SDK发送 → 3.6同版驱动接收 → 解码校验与冻结映射 → 原子组在模型步边界应用。cantools负责信号编解码，不替代项目的会话、应用CRC和多帧一致性逻辑。</w:t>
      </w:r>
    </w:p>
    <w:p>
      <w:pPr>
        <w:widowControl/>
      </w:pPr>
      <w:r>
        <w:t>CAN/FD调度同时支持周期消息和事件消息。周期由冻结表确定；静态周期帧可用已验证内核机制，动态值变更按确定的生效边界更新。多帧原子组使用ICD规定的组号/计数器关联，收到完整且有效的一组后才提交；缺帧、旧计数、重组超时整组拒绝。未在ICD定义关联机制时禁止启用该组，不能自行占用载荷字节。</w:t>
      </w:r>
    </w:p>
    <w:tbl>
      <w:tblPr>
        <w:tblW w:type="auto" w:w="0"/>
        <w:jc w:val="center"/>
        <w:tblLayout w:type="fixed"/>
        <w:tblLook w:firstColumn="1" w:firstRow="1" w:lastColumn="0" w:lastRow="0" w:noHBand="0" w:noVBand="1" w:val="04A0"/>
      </w:tblPr>
      <w:tblGrid>
        <w:gridCol w:w="1928"/>
        <w:gridCol w:w="4025"/>
        <w:gridCol w:w="3685"/>
      </w:tblGrid>
      <w:tr>
        <w:trPr>
          <w:cantSplit/>
          <w:tblHeader/>
        </w:trPr>
        <w:tc>
          <w:tcPr>
            <w:tcW w:type="dxa" w:w="1928"/>
            <w:vAlign w:val="center"/>
            <w:shd w:fill="DCE9F4"/>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spacing w:before="0" w:after="40" w:line="269" w:lineRule="auto"/>
            </w:pPr>
            <w:r>
              <w:rPr>
                <w:rFonts w:ascii="Microsoft YaHei" w:hAnsi="Microsoft YaHei"/>
                <w:b/>
                <w:color w:val="000000"/>
                <w:sz w:val="19"/>
              </w:rPr>
              <w:t>绑定项</w:t>
            </w:r>
          </w:p>
        </w:tc>
        <w:tc>
          <w:tcPr>
            <w:tcW w:type="dxa" w:w="4025"/>
            <w:vAlign w:val="center"/>
            <w:shd w:fill="DCE9F4"/>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spacing w:before="0" w:after="40" w:line="269" w:lineRule="auto"/>
            </w:pPr>
            <w:r>
              <w:rPr>
                <w:rFonts w:ascii="Microsoft YaHei" w:hAnsi="Microsoft YaHei"/>
                <w:b/>
                <w:color w:val="000000"/>
                <w:sz w:val="19"/>
              </w:rPr>
              <w:t>冻结设计</w:t>
            </w:r>
          </w:p>
        </w:tc>
        <w:tc>
          <w:tcPr>
            <w:tcW w:type="dxa" w:w="3685"/>
            <w:vAlign w:val="center"/>
            <w:shd w:fill="DCE9F4"/>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spacing w:before="0" w:after="40" w:line="269" w:lineRule="auto"/>
            </w:pPr>
            <w:r>
              <w:rPr>
                <w:rFonts w:ascii="Microsoft YaHei" w:hAnsi="Microsoft YaHei"/>
                <w:b/>
                <w:color w:val="000000"/>
                <w:sz w:val="19"/>
              </w:rPr>
              <w:t>验证证据</w:t>
            </w:r>
          </w:p>
        </w:tc>
      </w:tr>
      <w:tr>
        <w:trPr>
          <w:cantSplit/>
        </w:trPr>
        <w:tc>
          <w:tcPr>
            <w:tcW w:type="dxa" w:w="1928"/>
            <w:vAlign w:val="cente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before="0" w:after="40" w:line="269" w:lineRule="auto"/>
            </w:pPr>
            <w:r>
              <w:rPr>
                <w:rFonts w:ascii="Microsoft YaHei" w:hAnsi="Microsoft YaHei"/>
                <w:b w:val="0"/>
                <w:color w:val="000000"/>
                <w:sz w:val="19"/>
              </w:rPr>
              <w:t>消息与信号</w:t>
            </w:r>
          </w:p>
        </w:tc>
        <w:tc>
          <w:tcPr>
            <w:tcW w:type="dxa" w:w="4025"/>
            <w:vAlign w:val="cente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before="0" w:after="40" w:line="269" w:lineRule="auto"/>
            </w:pPr>
            <w:r>
              <w:rPr>
                <w:rFonts w:ascii="Microsoft YaHei" w:hAnsi="Microsoft YaHei"/>
                <w:b w:val="0"/>
                <w:color w:val="000000"/>
                <w:sz w:val="19"/>
              </w:rPr>
              <w:t>方向、CAN ID、帧类型、长度、FD/BRS、位定义和复用</w:t>
            </w:r>
          </w:p>
        </w:tc>
        <w:tc>
          <w:tcPr>
            <w:tcW w:type="dxa" w:w="3685"/>
            <w:vAlign w:val="cente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before="0" w:after="40" w:line="269" w:lineRule="auto"/>
            </w:pPr>
            <w:r>
              <w:rPr>
                <w:rFonts w:ascii="Microsoft YaHei" w:hAnsi="Microsoft YaHei"/>
                <w:b w:val="0"/>
                <w:color w:val="000000"/>
                <w:sz w:val="19"/>
              </w:rPr>
              <w:t>逐消息黄金原码向量、编码/解码往返与越界拒绝</w:t>
            </w:r>
          </w:p>
        </w:tc>
      </w:tr>
      <w:tr>
        <w:trPr>
          <w:cantSplit/>
        </w:trPr>
        <w:tc>
          <w:tcPr>
            <w:tcW w:type="dxa" w:w="1928"/>
            <w:vAlign w:val="center"/>
            <w:shd w:fill="F4F6F8"/>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before="0" w:after="40" w:line="269" w:lineRule="auto"/>
            </w:pPr>
            <w:r>
              <w:rPr>
                <w:rFonts w:ascii="Microsoft YaHei" w:hAnsi="Microsoft YaHei"/>
                <w:b w:val="0"/>
                <w:color w:val="000000"/>
                <w:sz w:val="19"/>
              </w:rPr>
              <w:t>通道与设备</w:t>
            </w:r>
          </w:p>
        </w:tc>
        <w:tc>
          <w:tcPr>
            <w:tcW w:type="dxa" w:w="4025"/>
            <w:vAlign w:val="center"/>
            <w:shd w:fill="F4F6F8"/>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before="0" w:after="40" w:line="269" w:lineRule="auto"/>
            </w:pPr>
            <w:r>
              <w:rPr>
                <w:rFonts w:ascii="Microsoft YaHei" w:hAnsi="Microsoft YaHei"/>
                <w:b w:val="0"/>
                <w:color w:val="000000"/>
                <w:sz w:val="19"/>
              </w:rPr>
              <w:t>已验证控制器/SDK、物理端口、终端和接线</w:t>
            </w:r>
          </w:p>
        </w:tc>
        <w:tc>
          <w:tcPr>
            <w:tcW w:type="dxa" w:w="3685"/>
            <w:vAlign w:val="center"/>
            <w:shd w:fill="F4F6F8"/>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before="0" w:after="40" w:line="269" w:lineRule="auto"/>
            </w:pPr>
            <w:r>
              <w:rPr>
                <w:rFonts w:ascii="Microsoft YaHei" w:hAnsi="Microsoft YaHei"/>
                <w:b w:val="0"/>
                <w:color w:val="000000"/>
                <w:sz w:val="19"/>
              </w:rPr>
              <w:t>vcan软件报告及独立真实总线接线/收发报告</w:t>
            </w:r>
          </w:p>
        </w:tc>
      </w:tr>
      <w:tr>
        <w:trPr>
          <w:cantSplit/>
        </w:trPr>
        <w:tc>
          <w:tcPr>
            <w:tcW w:type="dxa" w:w="1928"/>
            <w:vAlign w:val="cente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before="0" w:after="40" w:line="269" w:lineRule="auto"/>
            </w:pPr>
            <w:r>
              <w:rPr>
                <w:rFonts w:ascii="Microsoft YaHei" w:hAnsi="Microsoft YaHei"/>
                <w:b w:val="0"/>
                <w:color w:val="000000"/>
                <w:sz w:val="19"/>
              </w:rPr>
              <w:t>组与时序</w:t>
            </w:r>
          </w:p>
        </w:tc>
        <w:tc>
          <w:tcPr>
            <w:tcW w:type="dxa" w:w="4025"/>
            <w:vAlign w:val="cente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before="0" w:after="40" w:line="269" w:lineRule="auto"/>
            </w:pPr>
            <w:r>
              <w:rPr>
                <w:rFonts w:ascii="Microsoft YaHei" w:hAnsi="Microsoft YaHei"/>
                <w:b w:val="0"/>
                <w:color w:val="000000"/>
                <w:sz w:val="19"/>
              </w:rPr>
              <w:t>组号、计数器、周期、组超时、有效期和调度误差</w:t>
            </w:r>
          </w:p>
        </w:tc>
        <w:tc>
          <w:tcPr>
            <w:tcW w:type="dxa" w:w="3685"/>
            <w:vAlign w:val="cente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before="0" w:after="40" w:line="269" w:lineRule="auto"/>
            </w:pPr>
            <w:r>
              <w:rPr>
                <w:rFonts w:ascii="Microsoft YaHei" w:hAnsi="Microsoft YaHei"/>
                <w:b w:val="0"/>
                <w:color w:val="000000"/>
                <w:sz w:val="19"/>
              </w:rPr>
              <w:t>完整/缺失/乱序组；发送、接收和应用时刻</w:t>
            </w:r>
          </w:p>
        </w:tc>
      </w:tr>
      <w:tr>
        <w:trPr>
          <w:cantSplit/>
        </w:trPr>
        <w:tc>
          <w:tcPr>
            <w:tcW w:type="dxa" w:w="1928"/>
            <w:vAlign w:val="center"/>
            <w:shd w:fill="F4F6F8"/>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before="0" w:after="40" w:line="269" w:lineRule="auto"/>
            </w:pPr>
            <w:r>
              <w:rPr>
                <w:rFonts w:ascii="Microsoft YaHei" w:hAnsi="Microsoft YaHei"/>
                <w:b w:val="0"/>
                <w:color w:val="000000"/>
                <w:sz w:val="19"/>
              </w:rPr>
              <w:t>模型应用</w:t>
            </w:r>
          </w:p>
        </w:tc>
        <w:tc>
          <w:tcPr>
            <w:tcW w:type="dxa" w:w="4025"/>
            <w:vAlign w:val="center"/>
            <w:shd w:fill="F4F6F8"/>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before="0" w:after="40" w:line="269" w:lineRule="auto"/>
            </w:pPr>
            <w:r>
              <w:rPr>
                <w:rFonts w:ascii="Microsoft YaHei" w:hAnsi="Microsoft YaHei"/>
                <w:b w:val="0"/>
                <w:color w:val="000000"/>
                <w:sz w:val="19"/>
              </w:rPr>
              <w:t>signal-map原子组、契约路径、单位/坐标转换和控制权</w:t>
            </w:r>
          </w:p>
        </w:tc>
        <w:tc>
          <w:tcPr>
            <w:tcW w:type="dxa" w:w="3685"/>
            <w:vAlign w:val="center"/>
            <w:shd w:fill="F4F6F8"/>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before="0" w:after="40" w:line="269" w:lineRule="auto"/>
            </w:pPr>
            <w:r>
              <w:rPr>
                <w:rFonts w:ascii="Microsoft YaHei" w:hAnsi="Microsoft YaHei"/>
                <w:b w:val="0"/>
                <w:color w:val="000000"/>
                <w:sz w:val="19"/>
              </w:rPr>
              <w:t>模型输入探针、applied_step及响应断言</w:t>
            </w:r>
          </w:p>
        </w:tc>
      </w:tr>
      <w:tr>
        <w:trPr>
          <w:cantSplit/>
        </w:trPr>
        <w:tc>
          <w:tcPr>
            <w:tcW w:type="dxa" w:w="1928"/>
            <w:vAlign w:val="cente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before="0" w:after="40" w:line="269" w:lineRule="auto"/>
            </w:pPr>
            <w:r>
              <w:rPr>
                <w:rFonts w:ascii="Microsoft YaHei" w:hAnsi="Microsoft YaHei"/>
                <w:b w:val="0"/>
                <w:color w:val="000000"/>
                <w:sz w:val="19"/>
              </w:rPr>
              <w:t>反向反馈</w:t>
            </w:r>
          </w:p>
        </w:tc>
        <w:tc>
          <w:tcPr>
            <w:tcW w:type="dxa" w:w="4025"/>
            <w:vAlign w:val="cente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before="0" w:after="40" w:line="269" w:lineRule="auto"/>
            </w:pPr>
            <w:r>
              <w:rPr>
                <w:rFonts w:ascii="Microsoft YaHei" w:hAnsi="Microsoft YaHei"/>
                <w:b w:val="0"/>
                <w:color w:val="000000"/>
                <w:sz w:val="19"/>
              </w:rPr>
              <w:t>反馈ID/信号、关联键、拒绝原因、应用与安全事件</w:t>
            </w:r>
          </w:p>
        </w:tc>
        <w:tc>
          <w:tcPr>
            <w:tcW w:type="dxa" w:w="3685"/>
            <w:vAlign w:val="cente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before="0" w:after="40" w:line="269" w:lineRule="auto"/>
            </w:pPr>
            <w:r>
              <w:rPr>
                <w:rFonts w:ascii="Microsoft YaHei" w:hAnsi="Microsoft YaHei"/>
                <w:b w:val="0"/>
                <w:color w:val="000000"/>
                <w:sz w:val="19"/>
              </w:rPr>
              <w:t>同ICD双向抓帧；请求到应用证据的完整关联</w:t>
            </w:r>
          </w:p>
        </w:tc>
      </w:tr>
    </w:tbl>
    <w:p>
      <w:pPr>
        <w:widowControl/>
      </w:pPr>
    </w:p>
    <w:p>
      <w:pPr>
        <w:widowControl/>
      </w:pPr>
      <w:r>
        <w:t>反向流程：模型/控制器产生应用事件和状态 → 接入服务使用共同反馈ICD编码 → 经正式反馈CAN/FD通道返回 → 模拟器解码并关联消息组 → 执行断言及记录。CAN业务若未具备逐请求反馈，则按签署ICD采用周期状态与组计数关联，另保留输入探针；不能以总线ACK或python-can发送成功作为模型应用回执。</w:t>
      </w:r>
    </w:p>
    <w:p>
      <w:pPr>
        <w:widowControl/>
      </w:pPr>
      <w:r>
        <w:t>保留can-utils和SavvyCAN原分支：可用于监听、记录、人工观察、批准的正常帧发送、负载和故障用例；正常发送须已满足正式ICD的动态字段、时序及规定交互。参与验收须登记控制源、会话、通道与记录，同一消息控制权不得被场景与人工发送竞争占用。纯监听不等于业务旁路，也不需要把所有接收字节回送统一发送器。两工具实际设备接口及CANFD能力按第9.16节锁定版本实测。</w:t>
      </w:r>
    </w:p>
    <w:p>
      <w:pPr>
        <w:pStyle w:val="4"/>
        <w:keepNext/>
        <w:widowControl/>
      </w:pPr>
      <w:r>
        <w:rPr>
          <w:color w:val="000000"/>
        </w:rPr>
        <w:t>9.9 场景脚本驱动的多链路调度</w:t>
      </w:r>
    </w:p>
    <w:p>
      <w:pPr>
        <w:widowControl/>
      </w:pPr>
      <w:r>
        <w:t>场景解释器先按JSON Schema校验并解析成只读事件计划；所有消息引用绑定到第9.7节正式消息索引。事件包括固定/阶跃/斜坡/限定扫频值、一次发送、周期启动/停止、等待反馈、注入规定故障和结束清理。动态波形的单位、幅值、变化率、更新周期与随机种子明确配置；是否作用于环境、任务或执行器由映射决定，不能直接改写模型状态。</w:t>
      </w:r>
    </w:p>
    <w:p>
      <w:pPr>
        <w:widowControl/>
      </w:pPr>
      <w:r>
        <w:t>调度以HIL提供的仿真时间与步号为业务时钟，单调时钟用于链路心跳和实际耗时。事件排序键为仿真时刻、明确优先级和event_id；同一字段同刻冲突在加载时拒绝。每个消息映射到自己的CAN/FD、UDP或TCP正式配置；同刻跨链路发送只承诺预定发送窗口，若要求共同模型步生效，必须使用ICD定义的目标步/原子组机制并由3.6集中提交。不能把连续调用两个发包函数认定为同步应用。</w:t>
      </w:r>
    </w:p>
    <w:p>
      <w:pPr>
        <w:widowControl/>
      </w:pPr>
      <w:r>
        <w:t>建议的内部场景结构示例如下。WIND_INPUT和MODEL_INPUT_APPLIED为绑定别名，不是已确认线上消息名；绑定表必须对应签署ICD及声明风输入的模型。示例数值只用于该用例，协议周期、安全值和门限仍由正式基线确定。</w:t>
      </w:r>
    </w:p>
    <w:p>
      <w:pPr>
        <w:keepNext/>
        <w:keepLines/>
        <w:widowControl/>
        <w:spacing w:after="0" w:line="240" w:lineRule="auto"/>
      </w:pPr>
      <w:r>
        <w:rPr>
          <w:rFonts w:ascii="Consolas" w:hAnsi="Consolas"/>
          <w:sz w:val="17"/>
        </w:rPr>
        <w:t>{</w:t>
      </w:r>
    </w:p>
    <w:p>
      <w:pPr>
        <w:keepNext/>
        <w:keepLines/>
        <w:widowControl/>
        <w:spacing w:after="0" w:line="240" w:lineRule="auto"/>
      </w:pPr>
      <w:r>
        <w:rPr>
          <w:rFonts w:ascii="Consolas" w:hAnsi="Consolas"/>
          <w:sz w:val="17"/>
        </w:rPr>
        <w:t xml:space="preserve">  "schema_version": "scenario-1.0",</w:t>
      </w:r>
    </w:p>
    <w:p>
      <w:pPr>
        <w:keepNext/>
        <w:keepLines/>
        <w:widowControl/>
        <w:spacing w:after="0" w:line="240" w:lineRule="auto"/>
      </w:pPr>
      <w:r>
        <w:rPr>
          <w:rFonts w:ascii="Consolas" w:hAnsi="Consolas"/>
          <w:sz w:val="17"/>
        </w:rPr>
        <w:t xml:space="preserve">  "scenario_id": "wind-step", "seed": 1,</w:t>
      </w:r>
    </w:p>
    <w:p>
      <w:pPr>
        <w:keepNext/>
        <w:keepLines/>
        <w:widowControl/>
        <w:spacing w:after="0" w:line="240" w:lineRule="auto"/>
      </w:pPr>
      <w:r>
        <w:rPr>
          <w:rFonts w:ascii="Consolas" w:hAnsi="Consolas"/>
          <w:sz w:val="17"/>
        </w:rPr>
        <w:t xml:space="preserve">  "bindings": {"wind": "WIND_INPUT"},</w:t>
      </w:r>
    </w:p>
    <w:p>
      <w:pPr>
        <w:keepNext/>
        <w:keepLines/>
        <w:widowControl/>
        <w:spacing w:after="0" w:line="240" w:lineRule="auto"/>
      </w:pPr>
      <w:r>
        <w:rPr>
          <w:rFonts w:ascii="Consolas" w:hAnsi="Consolas"/>
          <w:sz w:val="17"/>
        </w:rPr>
        <w:t xml:space="preserve">  "events": [{</w:t>
      </w:r>
    </w:p>
    <w:p>
      <w:pPr>
        <w:keepNext/>
        <w:keepLines/>
        <w:widowControl/>
        <w:spacing w:after="0" w:line="240" w:lineRule="auto"/>
      </w:pPr>
      <w:r>
        <w:rPr>
          <w:rFonts w:ascii="Consolas" w:hAnsi="Consolas"/>
          <w:sz w:val="17"/>
        </w:rPr>
        <w:t xml:space="preserve">    "event_id": "e1", "at_sim_us": 1000000,</w:t>
      </w:r>
    </w:p>
    <w:p>
      <w:pPr>
        <w:keepNext/>
        <w:keepLines/>
        <w:widowControl/>
        <w:spacing w:after="0" w:line="240" w:lineRule="auto"/>
      </w:pPr>
      <w:r>
        <w:rPr>
          <w:rFonts w:ascii="Consolas" w:hAnsi="Consolas"/>
          <w:sz w:val="17"/>
        </w:rPr>
        <w:t xml:space="preserve">    "action": "send", "binding": "wind",</w:t>
      </w:r>
    </w:p>
    <w:p>
      <w:pPr>
        <w:keepNext/>
        <w:keepLines/>
        <w:widowControl/>
        <w:spacing w:after="0" w:line="240" w:lineRule="auto"/>
      </w:pPr>
      <w:r>
        <w:rPr>
          <w:rFonts w:ascii="Consolas" w:hAnsi="Consolas"/>
          <w:sz w:val="17"/>
        </w:rPr>
        <w:t xml:space="preserve">    "values": {"wind_n_mps": 3.0},</w:t>
      </w:r>
    </w:p>
    <w:p>
      <w:pPr>
        <w:keepNext/>
        <w:keepLines/>
        <w:widowControl/>
        <w:spacing w:after="0" w:line="240" w:lineRule="auto"/>
      </w:pPr>
      <w:r>
        <w:rPr>
          <w:rFonts w:ascii="Consolas" w:hAnsi="Consolas"/>
          <w:sz w:val="17"/>
        </w:rPr>
        <w:t xml:space="preserve">    "wait_for": "MODEL_INPUT_APPLIED",</w:t>
      </w:r>
    </w:p>
    <w:p>
      <w:pPr>
        <w:keepNext/>
        <w:keepLines/>
        <w:widowControl/>
        <w:spacing w:after="0" w:line="240" w:lineRule="auto"/>
      </w:pPr>
      <w:r>
        <w:rPr>
          <w:rFonts w:ascii="Consolas" w:hAnsi="Consolas"/>
          <w:sz w:val="17"/>
        </w:rPr>
        <w:t xml:space="preserve">    "timeout_ref": "wind_apply",</w:t>
      </w:r>
    </w:p>
    <w:p>
      <w:pPr>
        <w:keepNext/>
        <w:keepLines/>
        <w:widowControl/>
        <w:spacing w:after="0" w:line="240" w:lineRule="auto"/>
      </w:pPr>
      <w:r>
        <w:rPr>
          <w:rFonts w:ascii="Consolas" w:hAnsi="Consolas"/>
          <w:sz w:val="17"/>
        </w:rPr>
        <w:t xml:space="preserve">    "assertion_ref": "wind_step_response"</w:t>
      </w:r>
    </w:p>
    <w:p>
      <w:pPr>
        <w:keepNext/>
        <w:keepLines/>
        <w:widowControl/>
        <w:spacing w:after="0" w:line="240" w:lineRule="auto"/>
      </w:pPr>
      <w:r>
        <w:rPr>
          <w:rFonts w:ascii="Consolas" w:hAnsi="Consolas"/>
          <w:sz w:val="17"/>
        </w:rPr>
        <w:t xml:space="preserve">  }],</w:t>
      </w:r>
    </w:p>
    <w:p>
      <w:pPr>
        <w:keepNext/>
        <w:keepLines/>
        <w:widowControl/>
        <w:spacing w:after="0" w:line="240" w:lineRule="auto"/>
      </w:pPr>
      <w:r>
        <w:rPr>
          <w:rFonts w:ascii="Consolas" w:hAnsi="Consolas"/>
          <w:sz w:val="17"/>
        </w:rPr>
        <w:t xml:space="preserve">  "on_failure": "safe_stop"</w:t>
      </w:r>
    </w:p>
    <w:p>
      <w:pPr>
        <w:keepNext w:val="0"/>
        <w:keepLines/>
        <w:widowControl/>
        <w:spacing w:after="0" w:line="240" w:lineRule="auto"/>
      </w:pPr>
      <w:r>
        <w:rPr>
          <w:rFonts w:ascii="Consolas" w:hAnsi="Consolas"/>
          <w:sz w:val="17"/>
        </w:rPr>
        <w:t>}</w:t>
      </w:r>
    </w:p>
    <w:p>
      <w:pPr>
        <w:widowControl/>
      </w:pPr>
    </w:p>
    <w:tbl>
      <w:tblPr>
        <w:tblW w:type="auto" w:w="0"/>
        <w:jc w:val="center"/>
        <w:tblLayout w:type="fixed"/>
        <w:tblLook w:firstColumn="1" w:firstRow="1" w:lastColumn="0" w:lastRow="0" w:noHBand="0" w:noVBand="1" w:val="04A0"/>
      </w:tblPr>
      <w:tblGrid>
        <w:gridCol w:w="1928"/>
        <w:gridCol w:w="4025"/>
        <w:gridCol w:w="3685"/>
      </w:tblGrid>
      <w:tr>
        <w:trPr>
          <w:cantSplit/>
          <w:tblHeader/>
        </w:trPr>
        <w:tc>
          <w:tcPr>
            <w:tcW w:type="dxa" w:w="1928"/>
            <w:vAlign w:val="center"/>
            <w:shd w:fill="DCE9F4"/>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spacing w:before="0" w:after="40" w:line="269" w:lineRule="auto"/>
            </w:pPr>
            <w:r>
              <w:rPr>
                <w:rFonts w:ascii="Microsoft YaHei" w:hAnsi="Microsoft YaHei"/>
                <w:b/>
                <w:color w:val="000000"/>
                <w:sz w:val="19"/>
              </w:rPr>
              <w:t>状态</w:t>
            </w:r>
          </w:p>
        </w:tc>
        <w:tc>
          <w:tcPr>
            <w:tcW w:type="dxa" w:w="4025"/>
            <w:vAlign w:val="center"/>
            <w:shd w:fill="DCE9F4"/>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spacing w:before="0" w:after="40" w:line="269" w:lineRule="auto"/>
            </w:pPr>
            <w:r>
              <w:rPr>
                <w:rFonts w:ascii="Microsoft YaHei" w:hAnsi="Microsoft YaHei"/>
                <w:b/>
                <w:color w:val="000000"/>
                <w:sz w:val="19"/>
              </w:rPr>
              <w:t>进入与允许动作</w:t>
            </w:r>
          </w:p>
        </w:tc>
        <w:tc>
          <w:tcPr>
            <w:tcW w:type="dxa" w:w="3685"/>
            <w:vAlign w:val="center"/>
            <w:shd w:fill="DCE9F4"/>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spacing w:before="0" w:after="40" w:line="269" w:lineRule="auto"/>
            </w:pPr>
            <w:r>
              <w:rPr>
                <w:rFonts w:ascii="Microsoft YaHei" w:hAnsi="Microsoft YaHei"/>
                <w:b/>
                <w:color w:val="000000"/>
                <w:sz w:val="19"/>
              </w:rPr>
              <w:t>离开条件</w:t>
            </w:r>
          </w:p>
        </w:tc>
      </w:tr>
      <w:tr>
        <w:trPr>
          <w:cantSplit/>
        </w:trPr>
        <w:tc>
          <w:tcPr>
            <w:tcW w:type="dxa" w:w="1928"/>
            <w:vAlign w:val="cente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before="0" w:after="40" w:line="269" w:lineRule="auto"/>
            </w:pPr>
            <w:r>
              <w:rPr>
                <w:rFonts w:ascii="Microsoft YaHei" w:hAnsi="Microsoft YaHei"/>
                <w:b w:val="0"/>
                <w:color w:val="000000"/>
                <w:sz w:val="19"/>
              </w:rPr>
              <w:t>VALIDATE / BLOCKED</w:t>
            </w:r>
          </w:p>
        </w:tc>
        <w:tc>
          <w:tcPr>
            <w:tcW w:type="dxa" w:w="4025"/>
            <w:vAlign w:val="cente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before="0" w:after="40" w:line="269" w:lineRule="auto"/>
            </w:pPr>
            <w:r>
              <w:rPr>
                <w:rFonts w:ascii="Microsoft YaHei" w:hAnsi="Microsoft YaHei"/>
                <w:b w:val="0"/>
                <w:color w:val="000000"/>
                <w:sz w:val="19"/>
              </w:rPr>
              <w:t>检查文件、映射、权限、硬件与空间；不发业务数据</w:t>
            </w:r>
          </w:p>
        </w:tc>
        <w:tc>
          <w:tcPr>
            <w:tcW w:type="dxa" w:w="3685"/>
            <w:vAlign w:val="cente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before="0" w:after="40" w:line="269" w:lineRule="auto"/>
            </w:pPr>
            <w:r>
              <w:rPr>
                <w:rFonts w:ascii="Microsoft YaHei" w:hAnsi="Microsoft YaHei"/>
                <w:b w:val="0"/>
                <w:color w:val="000000"/>
                <w:sz w:val="19"/>
              </w:rPr>
              <w:t>全部校验通过后进入READY；错误不得绕过</w:t>
            </w:r>
          </w:p>
        </w:tc>
      </w:tr>
      <w:tr>
        <w:trPr>
          <w:cantSplit/>
        </w:trPr>
        <w:tc>
          <w:tcPr>
            <w:tcW w:type="dxa" w:w="1928"/>
            <w:vAlign w:val="center"/>
            <w:shd w:fill="F4F6F8"/>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line="269" w:lineRule="auto"/>
            </w:pPr>
            <w:r>
              <w:rPr>
                <w:rFonts w:ascii="Microsoft YaHei" w:hAnsi="Microsoft YaHei"/>
                <w:color w:val="000000"/>
                <w:sz w:val="19"/>
              </w:rPr>
              <w:t>READY / ARMED</w:t>
            </w:r>
          </w:p>
        </w:tc>
        <w:tc>
          <w:tcPr>
            <w:tcW w:type="dxa" w:w="4025"/>
            <w:vAlign w:val="center"/>
            <w:shd w:fill="F4F6F8"/>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line="269" w:lineRule="auto"/>
            </w:pPr>
            <w:r>
              <w:rPr>
                <w:rFonts w:ascii="Microsoft YaHei" w:hAnsi="Microsoft YaHei"/>
                <w:color w:val="000000"/>
                <w:sz w:val="19"/>
              </w:rPr>
              <w:t>按ICD建立会话/租约（适用时）；等待模型与规定反馈就绪</w:t>
            </w:r>
          </w:p>
        </w:tc>
        <w:tc>
          <w:tcPr>
            <w:tcW w:type="dxa" w:w="3685"/>
            <w:vAlign w:val="center"/>
            <w:shd w:fill="F4F6F8"/>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line="269" w:lineRule="auto"/>
            </w:pPr>
            <w:r>
              <w:rPr>
                <w:rFonts w:ascii="Microsoft YaHei" w:hAnsi="Microsoft YaHei"/>
                <w:color w:val="000000"/>
                <w:sz w:val="19"/>
              </w:rPr>
              <w:t>规定握手及模型运行条件满足后进入RUNNING</w:t>
            </w:r>
          </w:p>
        </w:tc>
      </w:tr>
      <w:tr>
        <w:trPr>
          <w:cantSplit/>
        </w:trPr>
        <w:tc>
          <w:tcPr>
            <w:tcW w:type="dxa" w:w="1928"/>
            <w:vAlign w:val="cente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before="0" w:after="40" w:line="269" w:lineRule="auto"/>
            </w:pPr>
            <w:r>
              <w:rPr>
                <w:rFonts w:ascii="Microsoft YaHei" w:hAnsi="Microsoft YaHei"/>
                <w:b w:val="0"/>
                <w:color w:val="000000"/>
                <w:sz w:val="19"/>
              </w:rPr>
              <w:t>RUNNING / WAITING</w:t>
            </w:r>
          </w:p>
        </w:tc>
        <w:tc>
          <w:tcPr>
            <w:tcW w:type="dxa" w:w="4025"/>
            <w:vAlign w:val="cente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before="0" w:after="40" w:line="269" w:lineRule="auto"/>
            </w:pPr>
            <w:r>
              <w:rPr>
                <w:rFonts w:ascii="Microsoft YaHei" w:hAnsi="Microsoft YaHei"/>
                <w:b w:val="0"/>
                <w:color w:val="000000"/>
                <w:sz w:val="19"/>
              </w:rPr>
              <w:t>按仿真时间调度；等待接收/应用/响应条件</w:t>
            </w:r>
          </w:p>
        </w:tc>
        <w:tc>
          <w:tcPr>
            <w:tcW w:type="dxa" w:w="3685"/>
            <w:vAlign w:val="cente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before="0" w:after="40" w:line="269" w:lineRule="auto"/>
            </w:pPr>
            <w:r>
              <w:rPr>
                <w:rFonts w:ascii="Microsoft YaHei" w:hAnsi="Microsoft YaHei"/>
                <w:b w:val="0"/>
                <w:color w:val="000000"/>
                <w:sz w:val="19"/>
              </w:rPr>
              <w:t>条件满足推进；超时或拒绝进入FAILED并清理</w:t>
            </w:r>
          </w:p>
        </w:tc>
      </w:tr>
      <w:tr>
        <w:trPr>
          <w:cantSplit/>
        </w:trPr>
        <w:tc>
          <w:tcPr>
            <w:tcW w:type="dxa" w:w="1928"/>
            <w:vAlign w:val="center"/>
            <w:shd w:fill="F4F6F8"/>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line="269" w:lineRule="auto"/>
            </w:pPr>
            <w:r>
              <w:rPr>
                <w:rFonts w:ascii="Microsoft YaHei" w:hAnsi="Microsoft YaHei"/>
                <w:color w:val="000000"/>
                <w:sz w:val="19"/>
              </w:rPr>
              <w:t>PAUSED / RESETTING</w:t>
            </w:r>
          </w:p>
        </w:tc>
        <w:tc>
          <w:tcPr>
            <w:tcW w:type="dxa" w:w="4025"/>
            <w:vAlign w:val="center"/>
            <w:shd w:fill="F4F6F8"/>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line="269" w:lineRule="auto"/>
            </w:pPr>
            <w:r>
              <w:rPr>
                <w:rFonts w:ascii="Microsoft YaHei" w:hAnsi="Microsoft YaHei"/>
                <w:color w:val="000000"/>
                <w:sz w:val="19"/>
              </w:rPr>
              <w:t>冻结业务时间和发送计划；按ICD保持规定心跳</w:t>
            </w:r>
          </w:p>
        </w:tc>
        <w:tc>
          <w:tcPr>
            <w:tcW w:type="dxa" w:w="3685"/>
            <w:vAlign w:val="center"/>
            <w:shd w:fill="F4F6F8"/>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line="269" w:lineRule="auto"/>
            </w:pPr>
            <w:r>
              <w:rPr>
                <w:rFonts w:ascii="Microsoft YaHei" w:hAnsi="Microsoft YaHei"/>
                <w:color w:val="000000"/>
                <w:sz w:val="19"/>
              </w:rPr>
              <w:t>恢复按冻结规则；重置仅在ICD要求时更换线上会话并丢弃旧队列</w:t>
            </w:r>
          </w:p>
        </w:tc>
      </w:tr>
      <w:tr>
        <w:trPr>
          <w:cantSplit/>
        </w:trPr>
        <w:tc>
          <w:tcPr>
            <w:tcW w:type="dxa" w:w="1928"/>
            <w:vAlign w:val="cente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before="0" w:after="40" w:line="269" w:lineRule="auto"/>
            </w:pPr>
            <w:r>
              <w:rPr>
                <w:rFonts w:ascii="Microsoft YaHei" w:hAnsi="Microsoft YaHei"/>
                <w:b w:val="0"/>
                <w:color w:val="000000"/>
                <w:sz w:val="19"/>
              </w:rPr>
              <w:t>STOPPING / COMPLETE</w:t>
            </w:r>
          </w:p>
        </w:tc>
        <w:tc>
          <w:tcPr>
            <w:tcW w:type="dxa" w:w="4025"/>
            <w:vAlign w:val="cente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before="0" w:after="40" w:line="269" w:lineRule="auto"/>
            </w:pPr>
            <w:r>
              <w:rPr>
                <w:rFonts w:ascii="Microsoft YaHei" w:hAnsi="Microsoft YaHei"/>
                <w:b w:val="0"/>
                <w:color w:val="000000"/>
                <w:sz w:val="19"/>
              </w:rPr>
              <w:t>停止周期任务、撤销写入、清理队列并记录安全态</w:t>
            </w:r>
          </w:p>
        </w:tc>
        <w:tc>
          <w:tcPr>
            <w:tcW w:type="dxa" w:w="3685"/>
            <w:vAlign w:val="cente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before="0" w:after="40" w:line="269" w:lineRule="auto"/>
            </w:pPr>
            <w:r>
              <w:rPr>
                <w:rFonts w:ascii="Microsoft YaHei" w:hAnsi="Microsoft YaHei"/>
                <w:b w:val="0"/>
                <w:color w:val="000000"/>
                <w:sz w:val="19"/>
              </w:rPr>
              <w:t>取得停止/安全证据后结束；失败不标记通过</w:t>
            </w:r>
          </w:p>
        </w:tc>
      </w:tr>
    </w:tbl>
    <w:p>
      <w:pPr>
        <w:widowControl/>
      </w:pPr>
    </w:p>
    <w:p>
      <w:pPr>
        <w:widowControl/>
      </w:pPr>
      <w:r>
        <w:t>暂停是否保持当前命令、恢复是否需重新授权、Step是否可用，均按ICD及模型/控制器能力确定。接收、应用和响应分别设置超时；失败停止后续事件、取消周期发送并执行规定安全处理。Robot Framework保留工具调用、场景编排和3.6标准管理API控制；可经已冻结接口执行启停、加载等合法操作，但不得绕过正式接入直接写模型。管理流与激励数据流分别记录，不新增模拟专用业务入口。</w:t>
      </w:r>
    </w:p>
    <w:p>
      <w:pPr>
        <w:pStyle w:val="4"/>
        <w:keepNext/>
        <w:widowControl/>
      </w:pPr>
      <w:r>
        <w:rPr>
          <w:color w:val="000000"/>
        </w:rPr>
        <w:t>9.10 历史数据筛选重建与回放链路</w:t>
      </w:r>
    </w:p>
    <w:p>
      <w:pPr>
        <w:widowControl/>
      </w:pPr>
      <w:r>
        <w:t>历史记录进入回放前先生成replay-plan.json。该计划记录源文件哈希、捕获链路类型、原ICD版本、方向与通道白名单、时间范围、完整性、目标通道、时间平移、会话/序号处理、校验重算和支持的验收目的。原文件保留不可覆盖副本；缺失时间基准、截断载荷、协议不匹配或无法合法重建鉴权的片段不得作为正常输入替换验收数据。</w:t>
      </w:r>
    </w:p>
    <w:tbl>
      <w:tblPr>
        <w:tblW w:type="auto" w:w="0"/>
        <w:jc w:val="center"/>
        <w:tblLayout w:type="fixed"/>
        <w:tblLook w:firstColumn="1" w:firstRow="1" w:lastColumn="0" w:lastRow="0" w:noHBand="0" w:noVBand="1" w:val="04A0"/>
      </w:tblPr>
      <w:tblGrid>
        <w:gridCol w:w="1928"/>
        <w:gridCol w:w="4025"/>
        <w:gridCol w:w="3685"/>
      </w:tblGrid>
      <w:tr>
        <w:trPr>
          <w:cantSplit/>
          <w:tblHeader/>
        </w:trPr>
        <w:tc>
          <w:tcPr>
            <w:tcW w:type="dxa" w:w="1928"/>
            <w:vAlign w:val="center"/>
            <w:shd w:fill="DCE9F4"/>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spacing w:before="0" w:after="40" w:line="269" w:lineRule="auto"/>
            </w:pPr>
            <w:r>
              <w:rPr>
                <w:rFonts w:ascii="Microsoft YaHei" w:hAnsi="Microsoft YaHei"/>
                <w:b/>
                <w:color w:val="000000"/>
                <w:sz w:val="19"/>
              </w:rPr>
              <w:t>记录类型</w:t>
            </w:r>
          </w:p>
        </w:tc>
        <w:tc>
          <w:tcPr>
            <w:tcW w:type="dxa" w:w="4025"/>
            <w:vAlign w:val="center"/>
            <w:shd w:fill="DCE9F4"/>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spacing w:before="0" w:after="40" w:line="269" w:lineRule="auto"/>
            </w:pPr>
            <w:r>
              <w:rPr>
                <w:rFonts w:ascii="Microsoft YaHei" w:hAnsi="Microsoft YaHei"/>
                <w:b/>
                <w:color w:val="000000"/>
                <w:sz w:val="19"/>
              </w:rPr>
              <w:t>正式处理路径</w:t>
            </w:r>
          </w:p>
        </w:tc>
        <w:tc>
          <w:tcPr>
            <w:tcW w:type="dxa" w:w="3685"/>
            <w:vAlign w:val="center"/>
            <w:shd w:fill="DCE9F4"/>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spacing w:before="0" w:after="40" w:line="269" w:lineRule="auto"/>
            </w:pPr>
            <w:r>
              <w:rPr>
                <w:rFonts w:ascii="Microsoft YaHei" w:hAnsi="Microsoft YaHei"/>
                <w:b/>
                <w:color w:val="000000"/>
                <w:sz w:val="19"/>
              </w:rPr>
              <w:t>边界与拒绝条件</w:t>
            </w:r>
          </w:p>
        </w:tc>
      </w:tr>
      <w:tr>
        <w:trPr>
          <w:cantSplit/>
        </w:trPr>
        <w:tc>
          <w:tcPr>
            <w:tcW w:type="dxa" w:w="1928"/>
            <w:vAlign w:val="cente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line="269" w:lineRule="auto"/>
            </w:pPr>
            <w:r>
              <w:rPr>
                <w:rFonts w:ascii="Microsoft YaHei" w:hAnsi="Microsoft YaHei"/>
                <w:color w:val="000000"/>
                <w:sz w:val="19"/>
              </w:rPr>
              <w:t>CAN / CANFD日志</w:t>
            </w:r>
          </w:p>
        </w:tc>
        <w:tc>
          <w:tcPr>
            <w:tcW w:type="dxa" w:w="4025"/>
            <w:vAlign w:val="cente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line="269" w:lineRule="auto"/>
            </w:pPr>
            <w:r>
              <w:rPr>
                <w:rFonts w:ascii="Microsoft YaHei" w:hAnsi="Microsoft YaHei"/>
                <w:color w:val="000000"/>
                <w:sz w:val="19"/>
              </w:rPr>
              <w:t>检查帧、方向、时间与正式协议；原码可合法使用时直接回放</w:t>
            </w:r>
          </w:p>
        </w:tc>
        <w:tc>
          <w:tcPr>
            <w:tcW w:type="dxa" w:w="3685"/>
            <w:vAlign w:val="cente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line="269" w:lineRule="auto"/>
            </w:pPr>
            <w:r>
              <w:rPr>
                <w:rFonts w:ascii="Microsoft YaHei" w:hAnsi="Microsoft YaHei"/>
                <w:color w:val="000000"/>
                <w:sz w:val="19"/>
              </w:rPr>
              <w:t>canplayer支持的日志与FD路径须实测；仅必要时重建动态字段</w:t>
            </w:r>
          </w:p>
        </w:tc>
      </w:tr>
      <w:tr>
        <w:trPr>
          <w:cantSplit/>
        </w:trPr>
        <w:tc>
          <w:tcPr>
            <w:tcW w:type="dxa" w:w="1928"/>
            <w:vAlign w:val="center"/>
            <w:shd w:fill="F4F6F8"/>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before="0" w:after="40" w:line="269" w:lineRule="auto"/>
            </w:pPr>
            <w:r>
              <w:rPr>
                <w:rFonts w:ascii="Microsoft YaHei" w:hAnsi="Microsoft YaHei"/>
                <w:b w:val="0"/>
                <w:color w:val="000000"/>
                <w:sz w:val="19"/>
              </w:rPr>
              <w:t>以太网UDP PCAP</w:t>
            </w:r>
          </w:p>
        </w:tc>
        <w:tc>
          <w:tcPr>
            <w:tcW w:type="dxa" w:w="4025"/>
            <w:vAlign w:val="center"/>
            <w:shd w:fill="F4F6F8"/>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before="0" w:after="40" w:line="269" w:lineRule="auto"/>
            </w:pPr>
            <w:r>
              <w:rPr>
                <w:rFonts w:ascii="Microsoft YaHei" w:hAnsi="Microsoft YaHei"/>
                <w:b w:val="0"/>
                <w:color w:val="000000"/>
                <w:sz w:val="19"/>
              </w:rPr>
              <w:t>筛选正向业务报文；按规则重建会话/地址及校验；用socket或批准的回放器发送</w:t>
            </w:r>
          </w:p>
        </w:tc>
        <w:tc>
          <w:tcPr>
            <w:tcW w:type="dxa" w:w="3685"/>
            <w:vAlign w:val="center"/>
            <w:shd w:fill="F4F6F8"/>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before="0" w:after="40" w:line="269" w:lineRule="auto"/>
            </w:pPr>
            <w:r>
              <w:rPr>
                <w:rFonts w:ascii="Microsoft YaHei" w:hAnsi="Microsoft YaHei"/>
                <w:b w:val="0"/>
                <w:color w:val="000000"/>
                <w:sz w:val="19"/>
              </w:rPr>
              <w:t>不回灌捕获的3.6反馈；原样回放仅限ICD明确允许的无状态消息</w:t>
            </w:r>
          </w:p>
        </w:tc>
      </w:tr>
      <w:tr>
        <w:trPr>
          <w:cantSplit/>
        </w:trPr>
        <w:tc>
          <w:tcPr>
            <w:tcW w:type="dxa" w:w="1928"/>
            <w:vAlign w:val="cente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line="269" w:lineRule="auto"/>
            </w:pPr>
            <w:r>
              <w:rPr>
                <w:rFonts w:ascii="Microsoft YaHei" w:hAnsi="Microsoft YaHei"/>
                <w:color w:val="000000"/>
                <w:sz w:val="19"/>
              </w:rPr>
              <w:t>以太网TCP PCAP</w:t>
            </w:r>
          </w:p>
        </w:tc>
        <w:tc>
          <w:tcPr>
            <w:tcW w:type="dxa" w:w="4025"/>
            <w:vAlign w:val="cente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line="269" w:lineRule="auto"/>
            </w:pPr>
            <w:r>
              <w:rPr>
                <w:rFonts w:ascii="Microsoft YaHei" w:hAnsi="Microsoft YaHei"/>
                <w:color w:val="000000"/>
                <w:sz w:val="19"/>
              </w:rPr>
              <w:t>按ICD建立实际连接并传送批准业务；仅正式TCP消息适用</w:t>
            </w:r>
          </w:p>
        </w:tc>
        <w:tc>
          <w:tcPr>
            <w:tcW w:type="dxa" w:w="3685"/>
            <w:vAlign w:val="cente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line="269" w:lineRule="auto"/>
            </w:pPr>
            <w:r>
              <w:rPr>
                <w:rFonts w:ascii="Microsoft YaHei" w:hAnsi="Microsoft YaHei"/>
                <w:color w:val="000000"/>
                <w:sz w:val="19"/>
              </w:rPr>
              <w:t>不能靠普通tcpreplay自动建立新TCP会话；按能力选交互实现</w:t>
            </w:r>
          </w:p>
        </w:tc>
      </w:tr>
      <w:tr>
        <w:trPr>
          <w:cantSplit/>
        </w:trPr>
        <w:tc>
          <w:tcPr>
            <w:tcW w:type="dxa" w:w="1928"/>
            <w:vAlign w:val="center"/>
            <w:shd w:fill="F4F6F8"/>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before="0" w:after="40" w:line="269" w:lineRule="auto"/>
            </w:pPr>
            <w:r>
              <w:rPr>
                <w:rFonts w:ascii="Microsoft YaHei" w:hAnsi="Microsoft YaHei"/>
                <w:b w:val="0"/>
                <w:color w:val="000000"/>
                <w:sz w:val="19"/>
              </w:rPr>
              <w:t>CAN类型PCAP / PCAPNG</w:t>
            </w:r>
          </w:p>
        </w:tc>
        <w:tc>
          <w:tcPr>
            <w:tcW w:type="dxa" w:w="4025"/>
            <w:vAlign w:val="center"/>
            <w:shd w:fill="F4F6F8"/>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before="0" w:after="40" w:line="269" w:lineRule="auto"/>
            </w:pPr>
            <w:r>
              <w:rPr>
                <w:rFonts w:ascii="Microsoft YaHei" w:hAnsi="Microsoft YaHei"/>
                <w:b w:val="0"/>
                <w:color w:val="000000"/>
                <w:sz w:val="19"/>
              </w:rPr>
              <w:t>由已验证链路类型解析器提取CAN帧并生成CAN回放计划</w:t>
            </w:r>
          </w:p>
        </w:tc>
        <w:tc>
          <w:tcPr>
            <w:tcW w:type="dxa" w:w="3685"/>
            <w:vAlign w:val="center"/>
            <w:shd w:fill="F4F6F8"/>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before="0" w:after="40" w:line="269" w:lineRule="auto"/>
            </w:pPr>
            <w:r>
              <w:rPr>
                <w:rFonts w:ascii="Microsoft YaHei" w:hAnsi="Microsoft YaHei"/>
                <w:b w:val="0"/>
                <w:color w:val="000000"/>
                <w:sz w:val="19"/>
              </w:rPr>
              <w:t>不因扩展名为PCAP就送入以太网tcpreplay；未支持类型明确拒绝</w:t>
            </w:r>
          </w:p>
        </w:tc>
      </w:tr>
    </w:tbl>
    <w:p>
      <w:pPr>
        <w:widowControl/>
      </w:pPr>
    </w:p>
    <w:p>
      <w:pPr>
        <w:widowControl/>
      </w:pPr>
      <w:r>
        <w:t>回放先按正式ICD判断原记录是否可直接使用；无需改写且满足当前通道、方向、新鲜度和交互规则时，保留原报文。只有冻结规则要求时，才建立新会话并更新序号、时间、计数器、应用校验或认证信息，保留相对时序及改写清单。含签名或加密的记录必须有合法重建能力；不允许仅重算网络校验便认定有效。地址改写仅限白名单部署参数，不改变业务语义、CAN ID或正式传输。</w:t>
      </w:r>
    </w:p>
    <w:p>
      <w:pPr>
        <w:widowControl/>
      </w:pPr>
      <w:r>
        <w:t>在线模型闭环仅启用已确认的1倍速或统一支持的时间倍率；离线分析可变速、跳转，但不记为闭环替换通过。循环回放每轮按冻结规则建立新会话，不能跨轮产生重复序号或旧指令。暂停后不得把积压历史报文瞬间补发；过期消息丢弃或失败、清队列与恢复授权依照正式策略执行。</w:t>
      </w:r>
    </w:p>
    <w:p>
      <w:pPr>
        <w:widowControl/>
      </w:pPr>
      <w:r>
        <w:t>回放由统一调度器授权启动、停止和记录，但不要求原码统一转发。canplayer/tcpreplay在原文件或批准预处理文件符合正式ICD、且用例无需工具不具备的在线交互时可直接发送；反馈可由同一运行的独立采集器接收。确需动态值、状态响应或新会话时，才重建工程量事件或使用具备交互的实现。历史3.6反馈不得回灌为3.3输入；回放不自动重现物理故障与真实传感器响应。</w:t>
      </w:r>
    </w:p>
    <w:p>
      <w:pPr>
        <w:pStyle w:val="4"/>
        <w:keepNext/>
        <w:widowControl/>
      </w:pPr>
      <w:r>
        <w:rPr>
          <w:color w:val="000000"/>
        </w:rPr>
        <w:t>9.11 以太网链路与3.6统一标准接入</w:t>
      </w:r>
    </w:p>
    <w:p>
      <w:pPr>
        <w:widowControl/>
      </w:pPr>
      <w:r>
        <w:t>以太网正向流程：场景值或批准回放资源 → 按正式ICD构包或校验原码 → 已验证Ostinato/Scapy/tcpreplay分支或按需客户端 → 正式网卡与网络 → 3.6标准接收解析 → 共同校验、映射和应用。构包工具与客户端是能力评估后的选项，不要求增加统一字节转发器。冻结配置逐消息明确实际应用协议、地址、长度、周期、交互和反馈；UDP6001仍是示例，不由本方案确定真实参数。</w:t>
      </w:r>
    </w:p>
    <w:p>
      <w:pPr>
        <w:widowControl/>
      </w:pPr>
      <w:r>
        <w:t>只有正式ICD采用UDP应用分片时，才定义组号、片号、长度、校验、重组超时和资源上限；无分片消息不附加这些字段。只有正式ICD采用TCP时，才验证消息定界、半包/粘包、长度限制、连接、重连及规定心跳。去重与重试按具体命令规则执行；不能把TCP、鉴权、分片或新会话当作所有消息必选项，不能为满足工具限制临时修改正式接口。</w:t>
      </w:r>
    </w:p>
    <w:p>
      <w:pPr>
        <w:widowControl/>
      </w:pPr>
      <w:r>
        <w:t>正式CAN/FD、UDP/TCP接收器分别完成传输处理，但输出同一内部命令结构，进入共同业务校验和映射。内部结构包括通道、ICD消息引用、关联键、接收时间、时间域、工程量、有效性及证据索引，不是第三套外部协议。3.6不接收DBC、场景脚本或PCAP作为模型输入，只接收共同ICD规定的线上消息。</w:t>
      </w:r>
    </w:p>
    <w:p>
      <w:pPr>
        <w:widowControl/>
      </w:pPr>
      <w:r>
        <w:t>接入顺序固定为：传输/长度与完整性检查 → 版本及消息许可检查 → 会话、授权、序号和新鲜度检查 → 字段/单位/范围/原子组检查 → 控制权与模型能力检查 → 映射并提交有限队列。失败保持原有效模型输入，按同一反馈ICD拒绝并记录；不得部分提交、默认补零或按模拟/真实身份选择不同规则。CAN鉴权方式按正式总线/会话设计执行，不自行添加未定义字段。</w:t>
      </w:r>
    </w:p>
    <w:p>
      <w:pPr>
        <w:widowControl/>
      </w:pPr>
      <w:r>
        <w:t>模型输入的提交队列按原子组保存不可变快照，包含目标步或最早允许应用步、有效截止时间及关联键；C核心只在模型步边界整体应用。严格顺序的一次性命令排队不覆盖；仅ICD声明可替换的周期状态允许同组保留最新快照。容量、满队列和迟到策略在阶段A冻结；越界输入拒绝或规定安全停机，不无限缓存或补发陈旧指令。实时线程不执行网络接收、磁盘写入或日志格式化。</w:t>
      </w:r>
    </w:p>
    <w:p>
      <w:pPr>
        <w:widowControl/>
      </w:pPr>
      <w:r>
        <w:t>统一映射的每行至少记录外部消息/信号、原子组、契约路径、数据类型/维度、单位/坐标转换、模型/任务/执行器角色、写权限、生效点、失效规则、输入探针和关联用例。任务目标转交声明控制器，不能用set_inputs伪造目标已执行；环境及故障只能写已声明字段；执行器输入遵守唯一控制源和安全值。未声明路径拒绝启动该用例。</w:t>
      </w:r>
    </w:p>
    <w:p>
      <w:pPr>
        <w:widowControl/>
      </w:pPr>
      <w:r>
        <w:t>反向流程：接收/拒绝事件、模型实际应用事件、控制器消费事件、状态与安全事件 → 有限发布队列 → 共同反馈ICD编码 → 正式反馈通道 → 模拟器/真实3.3统一解码。反馈丢失、超时与重连同样受用例判定；不能以模拟器本地生成“成功回执”替代3.6反馈。状态订阅采用发布副本，不争抢现有9996接收端口。</w:t>
      </w:r>
    </w:p>
    <w:p>
      <w:pPr>
        <w:widowControl/>
      </w:pPr>
      <w:r>
        <w:t>Scapy/Ostinato保留正常构包及异常测试职责；是否需要外围会话控制或其他客户端，按第9.16节能力缺口与实测结果决定。真实车载以太网、媒体转换、时间戳和同步按冻结profile分别验证；普通网口通包不证明车载物理或同步指标。图像字节与串口/AD/DA/IO继续按第9.6节独立交付，不以CAN/以太网工程量代替实体性能。</w:t>
      </w:r>
    </w:p>
    <w:p>
      <w:pPr>
        <w:pStyle w:val="4"/>
        <w:keepNext/>
        <w:widowControl/>
      </w:pPr>
      <w:r>
        <w:rPr>
          <w:color w:val="000000"/>
        </w:rPr>
        <w:t>9.12 接收应用响应证据与逐链路验收</w:t>
      </w:r>
    </w:p>
    <w:p>
      <w:pPr>
        <w:widowControl/>
      </w:pPr>
      <w:r>
        <w:t>每条必选消息建立端到端证据链，不以工具TX计数、CAN ACK、网络抓包或管理命令accepted单独判定生效。按消息性质分别定义以下证据层级；未能得到规定证据的用例标记失败或待验证，而不是通过。</w:t>
      </w:r>
    </w:p>
    <w:tbl>
      <w:tblPr>
        <w:tblW w:type="auto" w:w="0"/>
        <w:jc w:val="center"/>
        <w:tblLayout w:type="fixed"/>
        <w:tblLook w:firstColumn="1" w:firstRow="1" w:lastColumn="0" w:lastRow="0" w:noHBand="0" w:noVBand="1" w:val="04A0"/>
      </w:tblPr>
      <w:tblGrid>
        <w:gridCol w:w="1928"/>
        <w:gridCol w:w="4025"/>
        <w:gridCol w:w="3685"/>
      </w:tblGrid>
      <w:tr>
        <w:trPr>
          <w:cantSplit/>
          <w:tblHeader/>
        </w:trPr>
        <w:tc>
          <w:tcPr>
            <w:tcW w:type="dxa" w:w="1928"/>
            <w:vAlign w:val="center"/>
            <w:shd w:fill="DCE9F4"/>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spacing w:before="0" w:after="40" w:line="269" w:lineRule="auto"/>
            </w:pPr>
            <w:r>
              <w:rPr>
                <w:rFonts w:ascii="Microsoft YaHei" w:hAnsi="Microsoft YaHei"/>
                <w:b/>
                <w:color w:val="000000"/>
                <w:sz w:val="19"/>
              </w:rPr>
              <w:t>证据层级</w:t>
            </w:r>
          </w:p>
        </w:tc>
        <w:tc>
          <w:tcPr>
            <w:tcW w:type="dxa" w:w="4025"/>
            <w:vAlign w:val="center"/>
            <w:shd w:fill="DCE9F4"/>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spacing w:before="0" w:after="40" w:line="269" w:lineRule="auto"/>
            </w:pPr>
            <w:r>
              <w:rPr>
                <w:rFonts w:ascii="Microsoft YaHei" w:hAnsi="Microsoft YaHei"/>
                <w:b/>
                <w:color w:val="000000"/>
                <w:sz w:val="19"/>
              </w:rPr>
              <w:t>产生位置与必需内容</w:t>
            </w:r>
          </w:p>
        </w:tc>
        <w:tc>
          <w:tcPr>
            <w:tcW w:type="dxa" w:w="3685"/>
            <w:vAlign w:val="center"/>
            <w:shd w:fill="DCE9F4"/>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spacing w:before="0" w:after="40" w:line="269" w:lineRule="auto"/>
            </w:pPr>
            <w:r>
              <w:rPr>
                <w:rFonts w:ascii="Microsoft YaHei" w:hAnsi="Microsoft YaHei"/>
                <w:b/>
                <w:color w:val="000000"/>
                <w:sz w:val="19"/>
              </w:rPr>
              <w:t>可证明的结论</w:t>
            </w:r>
          </w:p>
        </w:tc>
      </w:tr>
      <w:tr>
        <w:trPr>
          <w:cantSplit/>
        </w:trPr>
        <w:tc>
          <w:tcPr>
            <w:tcW w:type="dxa" w:w="1928"/>
            <w:vAlign w:val="cente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before="0" w:after="40" w:line="269" w:lineRule="auto"/>
            </w:pPr>
            <w:r>
              <w:rPr>
                <w:rFonts w:ascii="Microsoft YaHei" w:hAnsi="Microsoft YaHei"/>
                <w:b w:val="0"/>
                <w:color w:val="000000"/>
                <w:sz w:val="19"/>
              </w:rPr>
              <w:t>E0 计划与发送</w:t>
            </w:r>
          </w:p>
        </w:tc>
        <w:tc>
          <w:tcPr>
            <w:tcW w:type="dxa" w:w="4025"/>
            <w:vAlign w:val="cente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before="0" w:after="40" w:line="269" w:lineRule="auto"/>
            </w:pPr>
            <w:r>
              <w:rPr>
                <w:rFonts w:ascii="Microsoft YaHei" w:hAnsi="Microsoft YaHei"/>
                <w:b w:val="0"/>
                <w:color w:val="000000"/>
                <w:sz w:val="19"/>
              </w:rPr>
              <w:t>模拟器：事件/资源/ICD引用、计划时间、发送结果及原码</w:t>
            </w:r>
          </w:p>
        </w:tc>
        <w:tc>
          <w:tcPr>
            <w:tcW w:type="dxa" w:w="3685"/>
            <w:vAlign w:val="cente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before="0" w:after="40" w:line="269" w:lineRule="auto"/>
            </w:pPr>
            <w:r>
              <w:rPr>
                <w:rFonts w:ascii="Microsoft YaHei" w:hAnsi="Microsoft YaHei"/>
                <w:b w:val="0"/>
                <w:color w:val="000000"/>
                <w:sz w:val="19"/>
              </w:rPr>
              <w:t>已按计划尝试发送；不能证明对端接收</w:t>
            </w:r>
          </w:p>
        </w:tc>
      </w:tr>
      <w:tr>
        <w:trPr>
          <w:cantSplit/>
        </w:trPr>
        <w:tc>
          <w:tcPr>
            <w:tcW w:type="dxa" w:w="1928"/>
            <w:vAlign w:val="center"/>
            <w:shd w:fill="F4F6F8"/>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before="0" w:after="40" w:line="269" w:lineRule="auto"/>
            </w:pPr>
            <w:r>
              <w:rPr>
                <w:rFonts w:ascii="Microsoft YaHei" w:hAnsi="Microsoft YaHei"/>
                <w:b w:val="0"/>
                <w:color w:val="000000"/>
                <w:sz w:val="19"/>
              </w:rPr>
              <w:t>E1 接收与接受</w:t>
            </w:r>
          </w:p>
        </w:tc>
        <w:tc>
          <w:tcPr>
            <w:tcW w:type="dxa" w:w="4025"/>
            <w:vAlign w:val="center"/>
            <w:shd w:fill="F4F6F8"/>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before="0" w:after="40" w:line="269" w:lineRule="auto"/>
            </w:pPr>
            <w:r>
              <w:rPr>
                <w:rFonts w:ascii="Microsoft YaHei" w:hAnsi="Microsoft YaHei"/>
                <w:b w:val="0"/>
                <w:color w:val="000000"/>
                <w:sz w:val="19"/>
              </w:rPr>
              <w:t>3.6接入：关联键、接收时间、解码量、接受/拒绝及原因</w:t>
            </w:r>
          </w:p>
        </w:tc>
        <w:tc>
          <w:tcPr>
            <w:tcW w:type="dxa" w:w="3685"/>
            <w:vAlign w:val="center"/>
            <w:shd w:fill="F4F6F8"/>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before="0" w:after="40" w:line="269" w:lineRule="auto"/>
            </w:pPr>
            <w:r>
              <w:rPr>
                <w:rFonts w:ascii="Microsoft YaHei" w:hAnsi="Microsoft YaHei"/>
                <w:b w:val="0"/>
                <w:color w:val="000000"/>
                <w:sz w:val="19"/>
              </w:rPr>
              <w:t>报文进入正式入口并通过检查；不能证明应用</w:t>
            </w:r>
          </w:p>
        </w:tc>
      </w:tr>
      <w:tr>
        <w:trPr>
          <w:cantSplit/>
        </w:trPr>
        <w:tc>
          <w:tcPr>
            <w:tcW w:type="dxa" w:w="1928"/>
            <w:vAlign w:val="cente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before="0" w:after="40" w:line="269" w:lineRule="auto"/>
            </w:pPr>
            <w:r>
              <w:rPr>
                <w:rFonts w:ascii="Microsoft YaHei" w:hAnsi="Microsoft YaHei"/>
                <w:b w:val="0"/>
                <w:color w:val="000000"/>
                <w:sz w:val="19"/>
              </w:rPr>
              <w:t>E2 模型输入应用</w:t>
            </w:r>
          </w:p>
        </w:tc>
        <w:tc>
          <w:tcPr>
            <w:tcW w:type="dxa" w:w="4025"/>
            <w:vAlign w:val="cente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before="0" w:after="40" w:line="269" w:lineRule="auto"/>
            </w:pPr>
            <w:r>
              <w:rPr>
                <w:rFonts w:ascii="Microsoft YaHei" w:hAnsi="Microsoft YaHei"/>
                <w:b w:val="0"/>
                <w:color w:val="000000"/>
                <w:sz w:val="19"/>
              </w:rPr>
              <w:t>模型核心：实际步号、仿真时刻、原子组及输入探针</w:t>
            </w:r>
          </w:p>
        </w:tc>
        <w:tc>
          <w:tcPr>
            <w:tcW w:type="dxa" w:w="3685"/>
            <w:vAlign w:val="cente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before="0" w:after="40" w:line="269" w:lineRule="auto"/>
            </w:pPr>
            <w:r>
              <w:rPr>
                <w:rFonts w:ascii="Microsoft YaHei" w:hAnsi="Microsoft YaHei"/>
                <w:b w:val="0"/>
                <w:color w:val="000000"/>
                <w:sz w:val="19"/>
              </w:rPr>
              <w:t>该组输入实际进入模型；不是仿真响应正确</w:t>
            </w:r>
          </w:p>
        </w:tc>
      </w:tr>
      <w:tr>
        <w:trPr>
          <w:cantSplit/>
        </w:trPr>
        <w:tc>
          <w:tcPr>
            <w:tcW w:type="dxa" w:w="1928"/>
            <w:vAlign w:val="center"/>
            <w:shd w:fill="F4F6F8"/>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before="0" w:after="40" w:line="269" w:lineRule="auto"/>
            </w:pPr>
            <w:r>
              <w:rPr>
                <w:rFonts w:ascii="Microsoft YaHei" w:hAnsi="Microsoft YaHei"/>
                <w:b w:val="0"/>
                <w:color w:val="000000"/>
                <w:sz w:val="19"/>
              </w:rPr>
              <w:t>E2 任务或业务应用</w:t>
            </w:r>
          </w:p>
        </w:tc>
        <w:tc>
          <w:tcPr>
            <w:tcW w:type="dxa" w:w="4025"/>
            <w:vAlign w:val="center"/>
            <w:shd w:fill="F4F6F8"/>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before="0" w:after="40" w:line="269" w:lineRule="auto"/>
            </w:pPr>
            <w:r>
              <w:rPr>
                <w:rFonts w:ascii="Microsoft YaHei" w:hAnsi="Microsoft YaHei"/>
                <w:b w:val="0"/>
                <w:color w:val="000000"/>
                <w:sz w:val="19"/>
              </w:rPr>
              <w:t>声明控制器：任务引用、消费事件、执行状态和原因</w:t>
            </w:r>
          </w:p>
        </w:tc>
        <w:tc>
          <w:tcPr>
            <w:tcW w:type="dxa" w:w="3685"/>
            <w:vAlign w:val="center"/>
            <w:shd w:fill="F4F6F8"/>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before="0" w:after="40" w:line="269" w:lineRule="auto"/>
            </w:pPr>
            <w:r>
              <w:rPr>
                <w:rFonts w:ascii="Microsoft YaHei" w:hAnsi="Microsoft YaHei"/>
                <w:b w:val="0"/>
                <w:color w:val="000000"/>
                <w:sz w:val="19"/>
              </w:rPr>
              <w:t>任务被处理；不得借模型步回执冒充任务完成</w:t>
            </w:r>
          </w:p>
        </w:tc>
      </w:tr>
      <w:tr>
        <w:trPr>
          <w:cantSplit/>
        </w:trPr>
        <w:tc>
          <w:tcPr>
            <w:tcW w:type="dxa" w:w="1928"/>
            <w:vAlign w:val="cente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before="0" w:after="40" w:line="269" w:lineRule="auto"/>
            </w:pPr>
            <w:r>
              <w:rPr>
                <w:rFonts w:ascii="Microsoft YaHei" w:hAnsi="Microsoft YaHei"/>
                <w:b w:val="0"/>
                <w:color w:val="000000"/>
                <w:sz w:val="19"/>
              </w:rPr>
              <w:t>E3 响应与安全</w:t>
            </w:r>
          </w:p>
        </w:tc>
        <w:tc>
          <w:tcPr>
            <w:tcW w:type="dxa" w:w="4025"/>
            <w:vAlign w:val="cente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before="0" w:after="40" w:line="269" w:lineRule="auto"/>
            </w:pPr>
            <w:r>
              <w:rPr>
                <w:rFonts w:ascii="Microsoft YaHei" w:hAnsi="Microsoft YaHei"/>
                <w:b w:val="0"/>
                <w:color w:val="000000"/>
                <w:sz w:val="19"/>
              </w:rPr>
              <w:t>模型/控制器：输出探针、状态变化、安全动作及预定容差</w:t>
            </w:r>
          </w:p>
        </w:tc>
        <w:tc>
          <w:tcPr>
            <w:tcW w:type="dxa" w:w="3685"/>
            <w:vAlign w:val="cente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before="0" w:after="40" w:line="269" w:lineRule="auto"/>
            </w:pPr>
            <w:r>
              <w:rPr>
                <w:rFonts w:ascii="Microsoft YaHei" w:hAnsi="Microsoft YaHei"/>
                <w:b w:val="0"/>
                <w:color w:val="000000"/>
                <w:sz w:val="19"/>
              </w:rPr>
              <w:t>具体用例的响应/安全断言成立</w:t>
            </w:r>
          </w:p>
        </w:tc>
      </w:tr>
    </w:tbl>
    <w:p>
      <w:pPr>
        <w:widowControl/>
      </w:pPr>
    </w:p>
    <w:p>
      <w:pPr>
        <w:widowControl/>
      </w:pPr>
      <w:r>
        <w:t>模型应用证据在真实输入写入点产生，可复用既有步级日志、模型探针或等价机制；如现有机制不能证明输入实际生效，再补充探针及事件。不得由接入服务按待提交值提前生成“已应用”。记录需关联实际步号、仿真时刻、输入值和请求；任务在真实消费点记录。证据经有限队列交给非实时记录器，溢出标记不完整。具体队列名、文件名和探针实现为选型建议，不改变必要的可追溯与实时隔离要求。</w:t>
      </w:r>
    </w:p>
    <w:p>
      <w:pPr>
        <w:widowControl/>
      </w:pPr>
      <w:r>
        <w:t>线上关联仅采用正式ICD规定的请求号、消息/组计数器、标准会话及方向；内部event_id只作记录索引，不占用未定义载荷。ICD已有周期状态时可联合内部输入证据关联，不自动增加标准状态帧。只有必选业务确认缺少必要反馈时才在阶段A共同冻结补充定义；之后禁止模拟器单方增加。正常应用后被覆盖的输入仍保留应用事件。</w:t>
      </w:r>
    </w:p>
    <w:p>
      <w:pPr>
        <w:widowControl/>
      </w:pPr>
      <w:r>
        <w:t>timing.csv分开记录t_plan、t_tx、t_rx、t_apply、applied_step、sim_time和t_response。跨主机t_tx到t_rx仅在已验证共同时间域或已校准偏差时计算单向延迟；否则标记不可比较并测同机间隔或往返时间。仿真时间与墙钟不得直接相减。测试表的周期、时序、模型容差使用共同基线，不在出报告时临时扩大。</w:t>
      </w:r>
    </w:p>
    <w:tbl>
      <w:tblPr>
        <w:tblW w:type="auto" w:w="0"/>
        <w:jc w:val="center"/>
        <w:tblLayout w:type="fixed"/>
        <w:tblLook w:firstColumn="1" w:firstRow="1" w:lastColumn="0" w:lastRow="0" w:noHBand="0" w:noVBand="1" w:val="04A0"/>
      </w:tblPr>
      <w:tblGrid>
        <w:gridCol w:w="1928"/>
        <w:gridCol w:w="4025"/>
        <w:gridCol w:w="3685"/>
      </w:tblGrid>
      <w:tr>
        <w:trPr>
          <w:cantSplit/>
          <w:tblHeader/>
        </w:trPr>
        <w:tc>
          <w:tcPr>
            <w:tcW w:type="dxa" w:w="1928"/>
            <w:vAlign w:val="center"/>
            <w:shd w:fill="DCE9F4"/>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spacing w:before="0" w:after="40" w:line="269" w:lineRule="auto"/>
            </w:pPr>
            <w:r>
              <w:rPr>
                <w:rFonts w:ascii="Microsoft YaHei" w:hAnsi="Microsoft YaHei"/>
                <w:b/>
                <w:color w:val="000000"/>
                <w:sz w:val="19"/>
              </w:rPr>
              <w:t>链路用例</w:t>
            </w:r>
          </w:p>
        </w:tc>
        <w:tc>
          <w:tcPr>
            <w:tcW w:type="dxa" w:w="4025"/>
            <w:vAlign w:val="center"/>
            <w:shd w:fill="DCE9F4"/>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spacing w:before="0" w:after="40" w:line="269" w:lineRule="auto"/>
            </w:pPr>
            <w:r>
              <w:rPr>
                <w:rFonts w:ascii="Microsoft YaHei" w:hAnsi="Microsoft YaHei"/>
                <w:b/>
                <w:color w:val="000000"/>
                <w:sz w:val="19"/>
              </w:rPr>
              <w:t>覆盖与关联</w:t>
            </w:r>
          </w:p>
        </w:tc>
        <w:tc>
          <w:tcPr>
            <w:tcW w:type="dxa" w:w="3685"/>
            <w:vAlign w:val="center"/>
            <w:shd w:fill="DCE9F4"/>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spacing w:before="0" w:after="40" w:line="269" w:lineRule="auto"/>
            </w:pPr>
            <w:r>
              <w:rPr>
                <w:rFonts w:ascii="Microsoft YaHei" w:hAnsi="Microsoft YaHei"/>
                <w:b/>
                <w:color w:val="000000"/>
                <w:sz w:val="19"/>
              </w:rPr>
              <w:t>通过条件和证据</w:t>
            </w:r>
          </w:p>
        </w:tc>
      </w:tr>
      <w:tr>
        <w:trPr>
          <w:cantSplit/>
        </w:trPr>
        <w:tc>
          <w:tcPr>
            <w:tcW w:type="dxa" w:w="1928"/>
            <w:vAlign w:val="cente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before="0" w:after="40" w:line="269" w:lineRule="auto"/>
            </w:pPr>
            <w:r>
              <w:rPr>
                <w:rFonts w:ascii="Microsoft YaHei" w:hAnsi="Microsoft YaHei"/>
                <w:b w:val="0"/>
                <w:color w:val="000000"/>
                <w:sz w:val="19"/>
              </w:rPr>
              <w:t>L01 资源与编码</w:t>
            </w:r>
          </w:p>
        </w:tc>
        <w:tc>
          <w:tcPr>
            <w:tcW w:type="dxa" w:w="4025"/>
            <w:vAlign w:val="cente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before="0" w:after="40" w:line="269" w:lineRule="auto"/>
            </w:pPr>
            <w:r>
              <w:rPr>
                <w:rFonts w:ascii="Microsoft YaHei" w:hAnsi="Microsoft YaHei"/>
                <w:b w:val="0"/>
                <w:color w:val="000000"/>
                <w:sz w:val="19"/>
              </w:rPr>
              <w:t>三类资源加载；CAN/以太网黄金向量；关联T01/T02</w:t>
            </w:r>
          </w:p>
        </w:tc>
        <w:tc>
          <w:tcPr>
            <w:tcW w:type="dxa" w:w="3685"/>
            <w:vAlign w:val="cente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before="0" w:after="40" w:line="269" w:lineRule="auto"/>
            </w:pPr>
            <w:r>
              <w:rPr>
                <w:rFonts w:ascii="Microsoft YaHei" w:hAnsi="Microsoft YaHei"/>
                <w:b w:val="0"/>
                <w:color w:val="000000"/>
                <w:sz w:val="19"/>
              </w:rPr>
              <w:t>支持格式明确；原码一致；不支持/缺字段拒绝且未发送</w:t>
            </w:r>
          </w:p>
        </w:tc>
      </w:tr>
      <w:tr>
        <w:trPr>
          <w:cantSplit/>
        </w:trPr>
        <w:tc>
          <w:tcPr>
            <w:tcW w:type="dxa" w:w="1928"/>
            <w:vAlign w:val="center"/>
            <w:shd w:fill="F4F6F8"/>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before="0" w:after="40" w:line="269" w:lineRule="auto"/>
            </w:pPr>
            <w:r>
              <w:rPr>
                <w:rFonts w:ascii="Microsoft YaHei" w:hAnsi="Microsoft YaHei"/>
                <w:b w:val="0"/>
                <w:color w:val="000000"/>
                <w:sz w:val="19"/>
              </w:rPr>
              <w:t>L02 CAN软件闭合</w:t>
            </w:r>
          </w:p>
        </w:tc>
        <w:tc>
          <w:tcPr>
            <w:tcW w:type="dxa" w:w="4025"/>
            <w:vAlign w:val="center"/>
            <w:shd w:fill="F4F6F8"/>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before="0" w:after="40" w:line="269" w:lineRule="auto"/>
            </w:pPr>
            <w:r>
              <w:rPr>
                <w:rFonts w:ascii="Microsoft YaHei" w:hAnsi="Microsoft YaHei"/>
                <w:b w:val="0"/>
                <w:color w:val="000000"/>
                <w:sz w:val="19"/>
              </w:rPr>
              <w:t>协议＋场景经同命名空间vcan；关联T01/T05</w:t>
            </w:r>
          </w:p>
        </w:tc>
        <w:tc>
          <w:tcPr>
            <w:tcW w:type="dxa" w:w="3685"/>
            <w:vAlign w:val="center"/>
            <w:shd w:fill="F4F6F8"/>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before="0" w:after="40" w:line="269" w:lineRule="auto"/>
            </w:pPr>
            <w:r>
              <w:rPr>
                <w:rFonts w:ascii="Microsoft YaHei" w:hAnsi="Microsoft YaHei"/>
                <w:b w:val="0"/>
                <w:color w:val="000000"/>
                <w:sz w:val="19"/>
              </w:rPr>
              <w:t>E0～E3或该消息规定层级完整；仅登记软件验证</w:t>
            </w:r>
          </w:p>
        </w:tc>
      </w:tr>
      <w:tr>
        <w:trPr>
          <w:cantSplit/>
        </w:trPr>
        <w:tc>
          <w:tcPr>
            <w:tcW w:type="dxa" w:w="1928"/>
            <w:vAlign w:val="cente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before="0" w:after="40" w:line="269" w:lineRule="auto"/>
            </w:pPr>
            <w:r>
              <w:rPr>
                <w:rFonts w:ascii="Microsoft YaHei" w:hAnsi="Microsoft YaHei"/>
                <w:b w:val="0"/>
                <w:color w:val="000000"/>
                <w:sz w:val="19"/>
              </w:rPr>
              <w:t>L03 CAN正式链路</w:t>
            </w:r>
          </w:p>
        </w:tc>
        <w:tc>
          <w:tcPr>
            <w:tcW w:type="dxa" w:w="4025"/>
            <w:vAlign w:val="cente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before="0" w:after="40" w:line="269" w:lineRule="auto"/>
            </w:pPr>
            <w:r>
              <w:rPr>
                <w:rFonts w:ascii="Microsoft YaHei" w:hAnsi="Microsoft YaHei"/>
                <w:b w:val="0"/>
                <w:color w:val="000000"/>
                <w:sz w:val="19"/>
              </w:rPr>
              <w:t>真实CAN/FD设备、全部必选消息；关联T12/T13</w:t>
            </w:r>
          </w:p>
        </w:tc>
        <w:tc>
          <w:tcPr>
            <w:tcW w:type="dxa" w:w="3685"/>
            <w:vAlign w:val="cente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before="0" w:after="40" w:line="269" w:lineRule="auto"/>
            </w:pPr>
            <w:r>
              <w:rPr>
                <w:rFonts w:ascii="Microsoft YaHei" w:hAnsi="Microsoft YaHei"/>
                <w:b w:val="0"/>
                <w:color w:val="000000"/>
                <w:sz w:val="19"/>
              </w:rPr>
              <w:t>同编码与映射；反馈/安全、物理及预定时序指标通过</w:t>
            </w:r>
          </w:p>
        </w:tc>
      </w:tr>
      <w:tr>
        <w:trPr>
          <w:cantSplit/>
        </w:trPr>
        <w:tc>
          <w:tcPr>
            <w:tcW w:type="dxa" w:w="1928"/>
            <w:vAlign w:val="center"/>
            <w:shd w:fill="F4F6F8"/>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line="269" w:lineRule="auto"/>
            </w:pPr>
            <w:r>
              <w:rPr>
                <w:rFonts w:ascii="Microsoft YaHei" w:hAnsi="Microsoft YaHei"/>
                <w:color w:val="000000"/>
                <w:sz w:val="19"/>
              </w:rPr>
              <w:t>L04 以太网闭合</w:t>
            </w:r>
          </w:p>
        </w:tc>
        <w:tc>
          <w:tcPr>
            <w:tcW w:type="dxa" w:w="4025"/>
            <w:vAlign w:val="center"/>
            <w:shd w:fill="F4F6F8"/>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line="269" w:lineRule="auto"/>
            </w:pPr>
            <w:r>
              <w:rPr>
                <w:rFonts w:ascii="Microsoft YaHei" w:hAnsi="Microsoft YaHei"/>
                <w:color w:val="000000"/>
                <w:sz w:val="19"/>
              </w:rPr>
              <w:t>选定正式UDP或TCP的正常及规定异常；关联T01/T06</w:t>
            </w:r>
          </w:p>
        </w:tc>
        <w:tc>
          <w:tcPr>
            <w:tcW w:type="dxa" w:w="3685"/>
            <w:vAlign w:val="center"/>
            <w:shd w:fill="F4F6F8"/>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line="269" w:lineRule="auto"/>
            </w:pPr>
            <w:r>
              <w:rPr>
                <w:rFonts w:ascii="Microsoft YaHei" w:hAnsi="Microsoft YaHei"/>
                <w:color w:val="000000"/>
                <w:sz w:val="19"/>
              </w:rPr>
              <w:t>同标准入口；适用定界/去重/重连规则、应用与反馈证据完整</w:t>
            </w:r>
          </w:p>
        </w:tc>
      </w:tr>
      <w:tr>
        <w:trPr>
          <w:cantSplit/>
        </w:trPr>
        <w:tc>
          <w:tcPr>
            <w:tcW w:type="dxa" w:w="1928"/>
            <w:vAlign w:val="cente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before="0" w:after="40" w:line="269" w:lineRule="auto"/>
            </w:pPr>
            <w:r>
              <w:rPr>
                <w:rFonts w:ascii="Microsoft YaHei" w:hAnsi="Microsoft YaHei"/>
                <w:b w:val="0"/>
                <w:color w:val="000000"/>
                <w:sz w:val="19"/>
              </w:rPr>
              <w:t>L05 场景同步</w:t>
            </w:r>
          </w:p>
        </w:tc>
        <w:tc>
          <w:tcPr>
            <w:tcW w:type="dxa" w:w="4025"/>
            <w:vAlign w:val="cente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before="0" w:after="40" w:line="269" w:lineRule="auto"/>
            </w:pPr>
            <w:r>
              <w:rPr>
                <w:rFonts w:ascii="Microsoft YaHei" w:hAnsi="Microsoft YaHei"/>
                <w:b w:val="0"/>
                <w:color w:val="000000"/>
                <w:sz w:val="19"/>
              </w:rPr>
              <w:t>跨链路同刻、等待、暂停/重置；关联T04/T09</w:t>
            </w:r>
          </w:p>
        </w:tc>
        <w:tc>
          <w:tcPr>
            <w:tcW w:type="dxa" w:w="3685"/>
            <w:vAlign w:val="cente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before="0" w:after="40" w:line="269" w:lineRule="auto"/>
            </w:pPr>
            <w:r>
              <w:rPr>
                <w:rFonts w:ascii="Microsoft YaHei" w:hAnsi="Microsoft YaHei"/>
                <w:b w:val="0"/>
                <w:color w:val="000000"/>
                <w:sz w:val="19"/>
              </w:rPr>
              <w:t>顺序确定；同步窗口/原子组符合；无旧指令补发</w:t>
            </w:r>
          </w:p>
        </w:tc>
      </w:tr>
      <w:tr>
        <w:trPr>
          <w:cantSplit/>
        </w:trPr>
        <w:tc>
          <w:tcPr>
            <w:tcW w:type="dxa" w:w="1928"/>
            <w:vAlign w:val="center"/>
            <w:shd w:fill="F4F6F8"/>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line="269" w:lineRule="auto"/>
            </w:pPr>
            <w:r>
              <w:rPr>
                <w:rFonts w:ascii="Microsoft YaHei" w:hAnsi="Microsoft YaHei"/>
                <w:color w:val="000000"/>
                <w:sz w:val="19"/>
              </w:rPr>
              <w:t>L06 回放重建</w:t>
            </w:r>
          </w:p>
        </w:tc>
        <w:tc>
          <w:tcPr>
            <w:tcW w:type="dxa" w:w="4025"/>
            <w:vAlign w:val="center"/>
            <w:shd w:fill="F4F6F8"/>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line="269" w:lineRule="auto"/>
            </w:pPr>
            <w:r>
              <w:rPr>
                <w:rFonts w:ascii="Microsoft YaHei" w:hAnsi="Microsoft YaHei"/>
                <w:color w:val="000000"/>
                <w:sz w:val="19"/>
              </w:rPr>
              <w:t>CAN日志、选定以太网记录；按需新会话；关联T05/T10</w:t>
            </w:r>
          </w:p>
        </w:tc>
        <w:tc>
          <w:tcPr>
            <w:tcW w:type="dxa" w:w="3685"/>
            <w:vAlign w:val="center"/>
            <w:shd w:fill="F4F6F8"/>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line="269" w:lineRule="auto"/>
            </w:pPr>
            <w:r>
              <w:rPr>
                <w:rFonts w:ascii="Microsoft YaHei" w:hAnsi="Microsoft YaHei"/>
                <w:color w:val="000000"/>
                <w:sz w:val="19"/>
              </w:rPr>
              <w:t>直发/必要重建证据齐全；旧反馈不回灌；适用交互验证通过</w:t>
            </w:r>
          </w:p>
        </w:tc>
      </w:tr>
      <w:tr>
        <w:trPr>
          <w:cantSplit/>
        </w:trPr>
        <w:tc>
          <w:tcPr>
            <w:tcW w:type="dxa" w:w="1928"/>
            <w:vAlign w:val="cente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before="0" w:after="40" w:line="269" w:lineRule="auto"/>
            </w:pPr>
            <w:r>
              <w:rPr>
                <w:rFonts w:ascii="Microsoft YaHei" w:hAnsi="Microsoft YaHei"/>
                <w:b w:val="0"/>
                <w:color w:val="000000"/>
                <w:sz w:val="19"/>
              </w:rPr>
              <w:t>L07 业务生效</w:t>
            </w:r>
          </w:p>
        </w:tc>
        <w:tc>
          <w:tcPr>
            <w:tcW w:type="dxa" w:w="4025"/>
            <w:vAlign w:val="cente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before="0" w:after="40" w:line="269" w:lineRule="auto"/>
            </w:pPr>
            <w:r>
              <w:rPr>
                <w:rFonts w:ascii="Microsoft YaHei" w:hAnsi="Microsoft YaHei"/>
                <w:b w:val="0"/>
                <w:color w:val="000000"/>
                <w:sz w:val="19"/>
              </w:rPr>
              <w:t>任务、环境、故障、执行器逐角色；关联T03/T08</w:t>
            </w:r>
          </w:p>
        </w:tc>
        <w:tc>
          <w:tcPr>
            <w:tcW w:type="dxa" w:w="3685"/>
            <w:vAlign w:val="cente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before="0" w:after="40" w:line="269" w:lineRule="auto"/>
            </w:pPr>
            <w:r>
              <w:rPr>
                <w:rFonts w:ascii="Microsoft YaHei" w:hAnsi="Microsoft YaHei"/>
                <w:b w:val="0"/>
                <w:color w:val="000000"/>
                <w:sz w:val="19"/>
              </w:rPr>
              <w:t>正确消费路径与探针；响应符合对应参考及容差</w:t>
            </w:r>
          </w:p>
        </w:tc>
      </w:tr>
      <w:tr>
        <w:trPr>
          <w:cantSplit/>
        </w:trPr>
        <w:tc>
          <w:tcPr>
            <w:tcW w:type="dxa" w:w="1928"/>
            <w:vAlign w:val="center"/>
            <w:shd w:fill="F4F6F8"/>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before="0" w:after="40" w:line="269" w:lineRule="auto"/>
            </w:pPr>
            <w:r>
              <w:rPr>
                <w:rFonts w:ascii="Microsoft YaHei" w:hAnsi="Microsoft YaHei"/>
                <w:b w:val="0"/>
                <w:color w:val="000000"/>
                <w:sz w:val="19"/>
              </w:rPr>
              <w:t>L08 异常与安全</w:t>
            </w:r>
          </w:p>
        </w:tc>
        <w:tc>
          <w:tcPr>
            <w:tcW w:type="dxa" w:w="4025"/>
            <w:vAlign w:val="center"/>
            <w:shd w:fill="F4F6F8"/>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before="0" w:after="40" w:line="269" w:lineRule="auto"/>
            </w:pPr>
            <w:r>
              <w:rPr>
                <w:rFonts w:ascii="Microsoft YaHei" w:hAnsi="Microsoft YaHei"/>
                <w:b w:val="0"/>
                <w:color w:val="000000"/>
                <w:sz w:val="19"/>
              </w:rPr>
              <w:t>非法帧、缺组、重复、迟到、反馈丢失、停发；关联T02/T06</w:t>
            </w:r>
          </w:p>
        </w:tc>
        <w:tc>
          <w:tcPr>
            <w:tcW w:type="dxa" w:w="3685"/>
            <w:vAlign w:val="center"/>
            <w:shd w:fill="F4F6F8"/>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before="0" w:after="40" w:line="269" w:lineRule="auto"/>
            </w:pPr>
            <w:r>
              <w:rPr>
                <w:rFonts w:ascii="Microsoft YaHei" w:hAnsi="Microsoft YaHei"/>
                <w:b w:val="0"/>
                <w:color w:val="000000"/>
                <w:sz w:val="19"/>
              </w:rPr>
              <w:t>不部分写入/误判成功；拒绝与安全证据可关联</w:t>
            </w:r>
          </w:p>
        </w:tc>
      </w:tr>
      <w:tr>
        <w:trPr>
          <w:cantSplit/>
        </w:trPr>
        <w:tc>
          <w:tcPr>
            <w:tcW w:type="dxa" w:w="1928"/>
            <w:vAlign w:val="cente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before="0" w:after="40" w:line="269" w:lineRule="auto"/>
            </w:pPr>
            <w:r>
              <w:rPr>
                <w:rFonts w:ascii="Microsoft YaHei" w:hAnsi="Microsoft YaHei"/>
                <w:b w:val="0"/>
                <w:color w:val="000000"/>
                <w:sz w:val="19"/>
              </w:rPr>
              <w:t>L09 并发与记录</w:t>
            </w:r>
          </w:p>
        </w:tc>
        <w:tc>
          <w:tcPr>
            <w:tcW w:type="dxa" w:w="4025"/>
            <w:vAlign w:val="cente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before="0" w:after="40" w:line="269" w:lineRule="auto"/>
            </w:pPr>
            <w:r>
              <w:rPr>
                <w:rFonts w:ascii="Microsoft YaHei" w:hAnsi="Microsoft YaHei"/>
                <w:b w:val="0"/>
                <w:color w:val="000000"/>
                <w:sz w:val="19"/>
              </w:rPr>
              <w:t>全部必选通道并发、队列满/磁盘门限；关联T12</w:t>
            </w:r>
          </w:p>
        </w:tc>
        <w:tc>
          <w:tcPr>
            <w:tcW w:type="dxa" w:w="3685"/>
            <w:vAlign w:val="cente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before="0" w:after="40" w:line="269" w:lineRule="auto"/>
            </w:pPr>
            <w:r>
              <w:rPr>
                <w:rFonts w:ascii="Microsoft YaHei" w:hAnsi="Microsoft YaHei"/>
                <w:b w:val="0"/>
                <w:color w:val="000000"/>
                <w:sz w:val="19"/>
              </w:rPr>
              <w:t>无串台/无界增长；有明确拒绝或安全停止和完整性标记</w:t>
            </w:r>
          </w:p>
        </w:tc>
      </w:tr>
      <w:tr>
        <w:trPr>
          <w:cantSplit/>
        </w:trPr>
        <w:tc>
          <w:tcPr>
            <w:tcW w:type="dxa" w:w="1928"/>
            <w:vAlign w:val="center"/>
            <w:shd w:fill="F4F6F8"/>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before="0" w:after="40" w:line="269" w:lineRule="auto"/>
            </w:pPr>
            <w:r>
              <w:rPr>
                <w:rFonts w:ascii="Microsoft YaHei" w:hAnsi="Microsoft YaHei"/>
                <w:b w:val="0"/>
                <w:color w:val="000000"/>
                <w:sz w:val="19"/>
              </w:rPr>
              <w:t>L10 仅配置替换</w:t>
            </w:r>
          </w:p>
        </w:tc>
        <w:tc>
          <w:tcPr>
            <w:tcW w:type="dxa" w:w="4025"/>
            <w:vAlign w:val="center"/>
            <w:shd w:fill="F4F6F8"/>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before="0" w:after="40" w:line="269" w:lineRule="auto"/>
            </w:pPr>
            <w:r>
              <w:rPr>
                <w:rFonts w:ascii="Microsoft YaHei" w:hAnsi="Microsoft YaHei"/>
                <w:b w:val="0"/>
                <w:color w:val="000000"/>
                <w:sz w:val="19"/>
              </w:rPr>
              <w:t>模拟器与真实3.3执行同版全部必选L/T用例；关联T14</w:t>
            </w:r>
          </w:p>
        </w:tc>
        <w:tc>
          <w:tcPr>
            <w:tcW w:type="dxa" w:w="3685"/>
            <w:vAlign w:val="center"/>
            <w:shd w:fill="F4F6F8"/>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before="0" w:after="40" w:line="269" w:lineRule="auto"/>
            </w:pPr>
            <w:r>
              <w:rPr>
                <w:rFonts w:ascii="Microsoft YaHei" w:hAnsi="Microsoft YaHei"/>
                <w:b w:val="0"/>
                <w:color w:val="000000"/>
                <w:sz w:val="19"/>
              </w:rPr>
              <w:t>同一冻结发布包；仅白名单差异；全部阈值与证据通过</w:t>
            </w:r>
          </w:p>
        </w:tc>
      </w:tr>
    </w:tbl>
    <w:p>
      <w:pPr>
        <w:widowControl/>
      </w:pPr>
    </w:p>
    <w:p>
      <w:pPr>
        <w:widowControl/>
      </w:pPr>
      <w:r>
        <w:t>阶段B先取得消息子集的软件链路证据；阶段C交付场景、回放和模型/控制器应用探针；阶段D完成全部必选正式链路及真实设备验证，冻结驱动、编码、映射与发布包；阶段E复用同版用例仅配置替换。覆盖清单逐条关联资源路径、正式通道、L/T用例和证据文件。已签署为可选或不适用的项目可注明理由，必选项不允许静默跳过。</w:t>
      </w:r>
    </w:p>
    <w:p>
      <w:pPr>
        <w:pStyle w:val="4"/>
        <w:keepNext/>
        <w:widowControl/>
      </w:pPr>
      <w:r>
        <w:rPr>
          <w:color w:val="000000"/>
        </w:rPr>
        <w:t>9.13 链路交付责任与启动门禁</w:t>
      </w:r>
    </w:p>
    <w:p>
      <w:pPr>
        <w:widowControl/>
      </w:pPr>
      <w:r>
        <w:t>三方在阶段A共同签署链路绑定清单；未知的真实消息、设备或参数在清单中列出负责人与关闭证据，关闭前禁止对应正式链路启动和替换验收。不得用本方案的示例CAN ID、端口、周期或模型别名补填正式接口。</w:t>
      </w:r>
    </w:p>
    <w:tbl>
      <w:tblPr>
        <w:tblW w:type="auto" w:w="0"/>
        <w:jc w:val="center"/>
        <w:tblLayout w:type="fixed"/>
        <w:tblLook w:firstColumn="1" w:firstRow="1" w:lastColumn="0" w:lastRow="0" w:noHBand="0" w:noVBand="1" w:val="04A0"/>
      </w:tblPr>
      <w:tblGrid>
        <w:gridCol w:w="1928"/>
        <w:gridCol w:w="4025"/>
        <w:gridCol w:w="3685"/>
      </w:tblGrid>
      <w:tr>
        <w:trPr>
          <w:cantSplit/>
          <w:tblHeader/>
        </w:trPr>
        <w:tc>
          <w:tcPr>
            <w:tcW w:type="dxa" w:w="1928"/>
            <w:vAlign w:val="center"/>
            <w:shd w:fill="DCE9F4"/>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spacing w:before="0" w:after="40" w:line="269" w:lineRule="auto"/>
            </w:pPr>
            <w:r>
              <w:rPr>
                <w:rFonts w:ascii="Microsoft YaHei" w:hAnsi="Microsoft YaHei"/>
                <w:b/>
                <w:color w:val="000000"/>
                <w:sz w:val="19"/>
              </w:rPr>
              <w:t>确认项</w:t>
            </w:r>
          </w:p>
        </w:tc>
        <w:tc>
          <w:tcPr>
            <w:tcW w:type="dxa" w:w="4025"/>
            <w:vAlign w:val="center"/>
            <w:shd w:fill="DCE9F4"/>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spacing w:before="0" w:after="40" w:line="269" w:lineRule="auto"/>
            </w:pPr>
            <w:r>
              <w:rPr>
                <w:rFonts w:ascii="Microsoft YaHei" w:hAnsi="Microsoft YaHei"/>
                <w:b/>
                <w:color w:val="000000"/>
                <w:sz w:val="19"/>
              </w:rPr>
              <w:t>负责方</w:t>
            </w:r>
          </w:p>
        </w:tc>
        <w:tc>
          <w:tcPr>
            <w:tcW w:type="dxa" w:w="3685"/>
            <w:vAlign w:val="center"/>
            <w:shd w:fill="DCE9F4"/>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spacing w:before="0" w:after="40" w:line="269" w:lineRule="auto"/>
            </w:pPr>
            <w:r>
              <w:rPr>
                <w:rFonts w:ascii="Microsoft YaHei" w:hAnsi="Microsoft YaHei"/>
                <w:b/>
                <w:color w:val="000000"/>
                <w:sz w:val="19"/>
              </w:rPr>
              <w:t>关闭证据与截止阶段</w:t>
            </w:r>
          </w:p>
        </w:tc>
      </w:tr>
      <w:tr>
        <w:trPr>
          <w:cantSplit/>
        </w:trPr>
        <w:tc>
          <w:tcPr>
            <w:tcW w:type="dxa" w:w="1928"/>
            <w:vAlign w:val="cente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before="0" w:after="40" w:line="269" w:lineRule="auto"/>
            </w:pPr>
            <w:r>
              <w:rPr>
                <w:rFonts w:ascii="Microsoft YaHei" w:hAnsi="Microsoft YaHei"/>
                <w:b w:val="0"/>
                <w:color w:val="000000"/>
                <w:sz w:val="19"/>
              </w:rPr>
              <w:t>正式消息/反馈与会话</w:t>
            </w:r>
          </w:p>
        </w:tc>
        <w:tc>
          <w:tcPr>
            <w:tcW w:type="dxa" w:w="4025"/>
            <w:vAlign w:val="cente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before="0" w:after="40" w:line="269" w:lineRule="auto"/>
            </w:pPr>
            <w:r>
              <w:rPr>
                <w:rFonts w:ascii="Microsoft YaHei" w:hAnsi="Microsoft YaHei"/>
                <w:b w:val="0"/>
                <w:color w:val="000000"/>
                <w:sz w:val="19"/>
              </w:rPr>
              <w:t>3.3、3.6、模拟器接口负责人</w:t>
            </w:r>
          </w:p>
        </w:tc>
        <w:tc>
          <w:tcPr>
            <w:tcW w:type="dxa" w:w="3685"/>
            <w:vAlign w:val="cente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before="0" w:after="40" w:line="269" w:lineRule="auto"/>
            </w:pPr>
            <w:r>
              <w:rPr>
                <w:rFonts w:ascii="Microsoft YaHei" w:hAnsi="Microsoft YaHei"/>
                <w:b w:val="0"/>
                <w:color w:val="000000"/>
                <w:sz w:val="19"/>
              </w:rPr>
              <w:t>共同签署ICD、反馈关联、黄金向量和全覆盖清单；A</w:t>
            </w:r>
          </w:p>
        </w:tc>
      </w:tr>
      <w:tr>
        <w:trPr>
          <w:cantSplit/>
        </w:trPr>
        <w:tc>
          <w:tcPr>
            <w:tcW w:type="dxa" w:w="1928"/>
            <w:vAlign w:val="center"/>
            <w:shd w:fill="F4F6F8"/>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before="0" w:after="40" w:line="269" w:lineRule="auto"/>
            </w:pPr>
            <w:r>
              <w:rPr>
                <w:rFonts w:ascii="Microsoft YaHei" w:hAnsi="Microsoft YaHei"/>
                <w:b w:val="0"/>
                <w:color w:val="000000"/>
                <w:sz w:val="19"/>
              </w:rPr>
              <w:t>资源格式与数据可用性</w:t>
            </w:r>
          </w:p>
        </w:tc>
        <w:tc>
          <w:tcPr>
            <w:tcW w:type="dxa" w:w="4025"/>
            <w:vAlign w:val="center"/>
            <w:shd w:fill="F4F6F8"/>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before="0" w:after="40" w:line="269" w:lineRule="auto"/>
            </w:pPr>
            <w:r>
              <w:rPr>
                <w:rFonts w:ascii="Microsoft YaHei" w:hAnsi="Microsoft YaHei"/>
                <w:b w:val="0"/>
                <w:color w:val="000000"/>
                <w:sz w:val="19"/>
              </w:rPr>
              <w:t>模拟器负责人、数据提供方</w:t>
            </w:r>
          </w:p>
        </w:tc>
        <w:tc>
          <w:tcPr>
            <w:tcW w:type="dxa" w:w="3685"/>
            <w:vAlign w:val="center"/>
            <w:shd w:fill="F4F6F8"/>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before="0" w:after="40" w:line="269" w:lineRule="auto"/>
            </w:pPr>
            <w:r>
              <w:rPr>
                <w:rFonts w:ascii="Microsoft YaHei" w:hAnsi="Microsoft YaHei"/>
                <w:b w:val="0"/>
                <w:color w:val="000000"/>
                <w:sz w:val="19"/>
              </w:rPr>
              <w:t>DBC/ARXML支持矩阵、场景Schema、历史数据筛选报告；B前</w:t>
            </w:r>
          </w:p>
        </w:tc>
      </w:tr>
      <w:tr>
        <w:trPr>
          <w:cantSplit/>
        </w:trPr>
        <w:tc>
          <w:tcPr>
            <w:tcW w:type="dxa" w:w="1928"/>
            <w:vAlign w:val="cente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before="0" w:after="40" w:line="269" w:lineRule="auto"/>
            </w:pPr>
            <w:r>
              <w:rPr>
                <w:rFonts w:ascii="Microsoft YaHei" w:hAnsi="Microsoft YaHei"/>
                <w:b w:val="0"/>
                <w:color w:val="000000"/>
                <w:sz w:val="19"/>
              </w:rPr>
              <w:t>通道与驱动</w:t>
            </w:r>
          </w:p>
        </w:tc>
        <w:tc>
          <w:tcPr>
            <w:tcW w:type="dxa" w:w="4025"/>
            <w:vAlign w:val="cente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before="0" w:after="40" w:line="269" w:lineRule="auto"/>
            </w:pPr>
            <w:r>
              <w:rPr>
                <w:rFonts w:ascii="Microsoft YaHei" w:hAnsi="Microsoft YaHei"/>
                <w:b w:val="0"/>
                <w:color w:val="000000"/>
                <w:sz w:val="19"/>
              </w:rPr>
              <w:t>硬件供应方、3.6接入负责人</w:t>
            </w:r>
          </w:p>
        </w:tc>
        <w:tc>
          <w:tcPr>
            <w:tcW w:type="dxa" w:w="3685"/>
            <w:vAlign w:val="cente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before="0" w:after="40" w:line="269" w:lineRule="auto"/>
            </w:pPr>
            <w:r>
              <w:rPr>
                <w:rFonts w:ascii="Microsoft YaHei" w:hAnsi="Microsoft YaHei"/>
                <w:b w:val="0"/>
                <w:color w:val="000000"/>
                <w:sz w:val="19"/>
              </w:rPr>
              <w:t>设备/内核兼容、SDK、接线、速率和反馈通道；D冻结前</w:t>
            </w:r>
          </w:p>
        </w:tc>
      </w:tr>
      <w:tr>
        <w:trPr>
          <w:cantSplit/>
        </w:trPr>
        <w:tc>
          <w:tcPr>
            <w:tcW w:type="dxa" w:w="1928"/>
            <w:vAlign w:val="center"/>
            <w:shd w:fill="F4F6F8"/>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before="0" w:after="40" w:line="269" w:lineRule="auto"/>
            </w:pPr>
            <w:r>
              <w:rPr>
                <w:rFonts w:ascii="Microsoft YaHei" w:hAnsi="Microsoft YaHei"/>
                <w:b w:val="0"/>
                <w:color w:val="000000"/>
                <w:sz w:val="19"/>
              </w:rPr>
              <w:t>模型/任务映射与探针</w:t>
            </w:r>
          </w:p>
        </w:tc>
        <w:tc>
          <w:tcPr>
            <w:tcW w:type="dxa" w:w="4025"/>
            <w:vAlign w:val="center"/>
            <w:shd w:fill="F4F6F8"/>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before="0" w:after="40" w:line="269" w:lineRule="auto"/>
            </w:pPr>
            <w:r>
              <w:rPr>
                <w:rFonts w:ascii="Microsoft YaHei" w:hAnsi="Microsoft YaHei"/>
                <w:b w:val="0"/>
                <w:color w:val="000000"/>
                <w:sz w:val="19"/>
              </w:rPr>
              <w:t>模型方、控制器方、3.6负责人</w:t>
            </w:r>
          </w:p>
        </w:tc>
        <w:tc>
          <w:tcPr>
            <w:tcW w:type="dxa" w:w="3685"/>
            <w:vAlign w:val="center"/>
            <w:shd w:fill="F4F6F8"/>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before="0" w:after="40" w:line="269" w:lineRule="auto"/>
            </w:pPr>
            <w:r>
              <w:rPr>
                <w:rFonts w:ascii="Microsoft YaHei" w:hAnsi="Microsoft YaHei"/>
                <w:b w:val="0"/>
                <w:color w:val="000000"/>
                <w:sz w:val="19"/>
              </w:rPr>
              <w:t>逐字段signal-map、真实输入/任务消费探针、参考结果；C</w:t>
            </w:r>
          </w:p>
        </w:tc>
      </w:tr>
      <w:tr>
        <w:trPr>
          <w:cantSplit/>
        </w:trPr>
        <w:tc>
          <w:tcPr>
            <w:tcW w:type="dxa" w:w="1928"/>
            <w:vAlign w:val="cente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before="0" w:after="40" w:line="269" w:lineRule="auto"/>
            </w:pPr>
            <w:r>
              <w:rPr>
                <w:rFonts w:ascii="Microsoft YaHei" w:hAnsi="Microsoft YaHei"/>
                <w:b w:val="0"/>
                <w:color w:val="000000"/>
                <w:sz w:val="19"/>
              </w:rPr>
              <w:t>时钟/队列/安全阈值</w:t>
            </w:r>
          </w:p>
        </w:tc>
        <w:tc>
          <w:tcPr>
            <w:tcW w:type="dxa" w:w="4025"/>
            <w:vAlign w:val="cente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before="0" w:after="40" w:line="269" w:lineRule="auto"/>
            </w:pPr>
            <w:r>
              <w:rPr>
                <w:rFonts w:ascii="Microsoft YaHei" w:hAnsi="Microsoft YaHei"/>
                <w:b w:val="0"/>
                <w:color w:val="000000"/>
                <w:sz w:val="19"/>
              </w:rPr>
              <w:t>各系统负责人、买方验收方</w:t>
            </w:r>
          </w:p>
        </w:tc>
        <w:tc>
          <w:tcPr>
            <w:tcW w:type="dxa" w:w="3685"/>
            <w:vAlign w:val="cente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before="0" w:after="40" w:line="269" w:lineRule="auto"/>
            </w:pPr>
            <w:r>
              <w:rPr>
                <w:rFonts w:ascii="Microsoft YaHei" w:hAnsi="Microsoft YaHei"/>
                <w:b w:val="0"/>
                <w:color w:val="000000"/>
                <w:sz w:val="19"/>
              </w:rPr>
              <w:t>同步测量、队列策略、安全值及认可阈值；A确定、D测证</w:t>
            </w:r>
          </w:p>
        </w:tc>
      </w:tr>
      <w:tr>
        <w:trPr>
          <w:cantSplit/>
        </w:trPr>
        <w:tc>
          <w:tcPr>
            <w:tcW w:type="dxa" w:w="1928"/>
            <w:vAlign w:val="center"/>
            <w:shd w:fill="F4F6F8"/>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before="0" w:after="40" w:line="269" w:lineRule="auto"/>
            </w:pPr>
            <w:r>
              <w:rPr>
                <w:rFonts w:ascii="Microsoft YaHei" w:hAnsi="Microsoft YaHei"/>
                <w:b w:val="0"/>
                <w:color w:val="000000"/>
                <w:sz w:val="19"/>
              </w:rPr>
              <w:t>替换保护与证据</w:t>
            </w:r>
          </w:p>
        </w:tc>
        <w:tc>
          <w:tcPr>
            <w:tcW w:type="dxa" w:w="4025"/>
            <w:vAlign w:val="center"/>
            <w:shd w:fill="F4F6F8"/>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before="0" w:after="40" w:line="269" w:lineRule="auto"/>
            </w:pPr>
            <w:r>
              <w:rPr>
                <w:rFonts w:ascii="Microsoft YaHei" w:hAnsi="Microsoft YaHei"/>
                <w:b w:val="0"/>
                <w:color w:val="000000"/>
                <w:sz w:val="19"/>
              </w:rPr>
              <w:t>3.3、3.6、测试负责人</w:t>
            </w:r>
          </w:p>
        </w:tc>
        <w:tc>
          <w:tcPr>
            <w:tcW w:type="dxa" w:w="3685"/>
            <w:vAlign w:val="center"/>
            <w:shd w:fill="F4F6F8"/>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val="0"/>
              <w:spacing w:before="0" w:after="40" w:line="269" w:lineRule="auto"/>
            </w:pPr>
            <w:r>
              <w:rPr>
                <w:rFonts w:ascii="Microsoft YaHei" w:hAnsi="Microsoft YaHei"/>
                <w:b w:val="0"/>
                <w:color w:val="000000"/>
                <w:sz w:val="19"/>
              </w:rPr>
              <w:t>同版L/T套件、发布包哈希、白名单及切换回退报告；E</w:t>
            </w:r>
          </w:p>
        </w:tc>
      </w:tr>
    </w:tbl>
    <w:p>
      <w:pPr>
        <w:widowControl/>
      </w:pPr>
    </w:p>
    <w:p>
      <w:pPr>
        <w:widowControl/>
      </w:pPr>
      <w:r>
        <w:t>模拟器交付资源加载、场景调度、原工具调用封装、正式编码/传输、回放校验、反馈断言和记录能力；允许用原工具及外围编排组合实现，不要求全部自研。按条件实现状态化客户端、重建或新增探针。3.6交付正式接入、受控队列、冻结映射、实际应用证据及ICD规定的反馈，可复用既有模块。第9.15～9.16节用于区分必要能力与可选实现；安装工具和完成图示不能代替贯通证据。</w:t>
      </w:r>
    </w:p>
    <w:p>
      <w:pPr>
        <w:widowControl/>
      </w:pPr>
      <w:r>
        <w:t>链路完成状态分为设计完成、软件验证、正式链路验证和真实3.3替换通过四级，逐条附证据。本章补充的是实施设计；实际模块开发和测量结果由阶段交付证明。任何必选链路缺少正式接收、实际应用或规定反馈证据，都不能判定具备仅配置替换条件。</w:t>
      </w:r>
    </w:p>
    <w:p>
      <w:pPr>
        <w:pStyle w:val="4"/>
        <w:keepNext/>
      </w:pPr>
      <w:r>
        <w:t>9.14 记录与交付目录</w:t>
      </w:r>
    </w:p>
    <w:p>
      <w:pPr>
        <w:keepNext/>
        <w:keepLines/>
        <w:widowControl/>
        <w:spacing w:after="0" w:line="240" w:lineRule="auto"/>
      </w:pPr>
      <w:r>
        <w:rPr>
          <w:rFonts w:ascii="Consolas" w:hAnsi="Consolas"/>
          <w:sz w:val="17"/>
        </w:rPr>
        <w:t>run-&lt;id&gt;/</w:t>
      </w:r>
    </w:p>
    <w:p>
      <w:pPr>
        <w:keepNext/>
        <w:keepLines/>
        <w:widowControl/>
        <w:spacing w:after="0" w:line="240" w:lineRule="auto"/>
      </w:pPr>
      <w:r>
        <w:rPr>
          <w:rFonts w:ascii="Consolas" w:hAnsi="Consolas"/>
          <w:sz w:val="17"/>
        </w:rPr>
        <w:t xml:space="preserve">  manifest.json       # 版本、模型/ICD/场景/配置哈希</w:t>
      </w:r>
    </w:p>
    <w:p>
      <w:pPr>
        <w:keepNext/>
        <w:keepLines/>
        <w:widowControl/>
        <w:spacing w:after="0" w:line="240" w:lineRule="auto"/>
      </w:pPr>
      <w:r>
        <w:rPr>
          <w:rFonts w:ascii="Consolas" w:hAnsi="Consolas"/>
          <w:sz w:val="17"/>
        </w:rPr>
        <w:t xml:space="preserve">  input-raw.ndjson    # 原始接收与发送数据</w:t>
      </w:r>
    </w:p>
    <w:p>
      <w:pPr>
        <w:keepNext/>
        <w:keepLines/>
        <w:widowControl/>
        <w:spacing w:after="0" w:line="240" w:lineRule="auto"/>
      </w:pPr>
      <w:r>
        <w:rPr>
          <w:rFonts w:ascii="Consolas" w:hAnsi="Consolas"/>
          <w:sz w:val="17"/>
        </w:rPr>
        <w:t xml:space="preserve">  input-values.ndjson # 工程量及映射</w:t>
      </w:r>
    </w:p>
    <w:p>
      <w:pPr>
        <w:keepNext/>
        <w:keepLines/>
        <w:widowControl/>
        <w:spacing w:after="0" w:line="240" w:lineRule="auto"/>
      </w:pPr>
      <w:r>
        <w:rPr>
          <w:rFonts w:ascii="Consolas" w:hAnsi="Consolas"/>
          <w:sz w:val="17"/>
        </w:rPr>
        <w:t xml:space="preserve">  receipts.ndjson     # 接受、拒绝、应用与源切换</w:t>
      </w:r>
    </w:p>
    <w:p>
      <w:pPr>
        <w:keepNext/>
        <w:keepLines/>
        <w:widowControl/>
        <w:spacing w:after="0" w:line="240" w:lineRule="auto"/>
      </w:pPr>
      <w:r>
        <w:rPr>
          <w:rFonts w:ascii="Consolas" w:hAnsi="Consolas"/>
          <w:sz w:val="17"/>
        </w:rPr>
        <w:t xml:space="preserve">  model-state.ndjson  # 模型输出与仿真时间</w:t>
      </w:r>
    </w:p>
    <w:p>
      <w:pPr>
        <w:keepNext/>
        <w:keepLines/>
        <w:widowControl/>
        <w:spacing w:after="0" w:line="240" w:lineRule="auto"/>
      </w:pPr>
      <w:r>
        <w:rPr>
          <w:rFonts w:ascii="Consolas" w:hAnsi="Consolas"/>
          <w:sz w:val="17"/>
        </w:rPr>
        <w:t xml:space="preserve">  video-events.ndjson # 图像帧与同步事件（启用时）</w:t>
      </w:r>
    </w:p>
    <w:p>
      <w:pPr>
        <w:keepNext/>
        <w:keepLines/>
        <w:widowControl/>
        <w:spacing w:after="0" w:line="240" w:lineRule="auto"/>
      </w:pPr>
      <w:r>
        <w:rPr>
          <w:rFonts w:ascii="Consolas" w:hAnsi="Consolas"/>
          <w:sz w:val="17"/>
        </w:rPr>
        <w:t xml:space="preserve">  timing.csv          # 发送、接收、生效及周期统计</w:t>
      </w:r>
    </w:p>
    <w:p>
      <w:pPr>
        <w:keepNext/>
        <w:keepLines/>
        <w:widowControl/>
        <w:spacing w:after="0" w:line="240" w:lineRule="auto"/>
      </w:pPr>
      <w:r>
        <w:rPr>
          <w:rFonts w:ascii="Consolas" w:hAnsi="Consolas"/>
          <w:sz w:val="17"/>
        </w:rPr>
        <w:t xml:space="preserve">  assertions.json    # 逐用例断言和失败证据</w:t>
      </w:r>
    </w:p>
    <w:p>
      <w:pPr>
        <w:keepNext w:val="0"/>
        <w:keepLines/>
        <w:widowControl/>
        <w:spacing w:after="0" w:line="240" w:lineRule="auto"/>
      </w:pPr>
      <w:r>
        <w:rPr>
          <w:rFonts w:ascii="Consolas" w:hAnsi="Consolas"/>
          <w:sz w:val="17"/>
        </w:rPr>
        <w:t xml:space="preserve">  result.json        # 模拟/硬件/集成阶段与结论</w:t>
      </w:r>
    </w:p>
    <w:p>
      <w:pPr>
        <w:widowControl/>
      </w:pPr>
      <w:r>
        <w:t>文件按大小分块并建立索引，达到空间门限采取预定停止动作。manifest记录数据源为mock或real、模型能力、未验证项目、驱动/内核和同步方式；result只汇总实际执行且证据完整的用例。</w:t>
      </w:r>
    </w:p>
    <w:p>
      <w:pPr>
        <w:pStyle w:val="4"/>
        <w:keepNext/>
        <w:widowControl/>
      </w:pPr>
      <w:r>
        <w:rPr>
          <w:color w:val="000000"/>
        </w:rPr>
        <w:t>9.15 修改分类与原链路保留边界</w:t>
      </w:r>
    </w:p>
    <w:p>
      <w:pPr>
        <w:widowControl/>
      </w:pPr>
      <w:r>
        <w:t>本节以原图为结构基准。必要修改是实现用户要求的正式接口一致性或纠正原图输入关系；条件性要求仅在对应ICD、硬件或用例启用时生效；可选建议是实现方式，不作为采购或验收的新增强制项。标书明确CANFD/车载以太网等正式互通与实体能力，但不据此推定每条消息都采用TCP、鉴权或逐请求回执。</w:t>
      </w:r>
    </w:p>
    <w:tbl>
      <w:tblPr>
        <w:tblW w:type="auto" w:w="0"/>
        <w:jc w:val="center"/>
        <w:tblLayout w:type="fixed"/>
        <w:tblLook w:firstColumn="1" w:firstRow="1" w:lastColumn="0" w:lastRow="0" w:noHBand="0" w:noVBand="1" w:val="04A0"/>
      </w:tblPr>
      <w:tblGrid>
        <w:gridCol w:w="1701"/>
        <w:gridCol w:w="3855"/>
        <w:gridCol w:w="4082"/>
      </w:tblGrid>
      <w:tr>
        <w:trPr>
          <w:cantSplit/>
          <w:tblHeader/>
        </w:trPr>
        <w:tc>
          <w:tcPr>
            <w:tcW w:type="dxa" w:w="1701"/>
            <w:vAlign w:val="center"/>
            <w:shd w:fill="DCE9F4"/>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spacing w:before="0" w:after="40" w:line="269" w:lineRule="auto"/>
            </w:pPr>
            <w:r>
              <w:rPr>
                <w:rFonts w:ascii="Microsoft YaHei" w:hAnsi="Microsoft YaHei"/>
                <w:b/>
                <w:color w:val="000000"/>
                <w:sz w:val="19"/>
              </w:rPr>
              <w:t>类别与编号</w:t>
            </w:r>
          </w:p>
        </w:tc>
        <w:tc>
          <w:tcPr>
            <w:tcW w:type="dxa" w:w="3855"/>
            <w:vAlign w:val="center"/>
            <w:shd w:fill="DCE9F4"/>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spacing w:before="0" w:after="40" w:line="269" w:lineRule="auto"/>
            </w:pPr>
            <w:r>
              <w:rPr>
                <w:rFonts w:ascii="Microsoft YaHei" w:hAnsi="Microsoft YaHei"/>
                <w:b/>
                <w:color w:val="000000"/>
                <w:sz w:val="19"/>
              </w:rPr>
              <w:t>修改内容</w:t>
            </w:r>
          </w:p>
        </w:tc>
        <w:tc>
          <w:tcPr>
            <w:tcW w:type="dxa" w:w="4082"/>
            <w:vAlign w:val="center"/>
            <w:shd w:fill="DCE9F4"/>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spacing w:before="0" w:after="40" w:line="269" w:lineRule="auto"/>
            </w:pPr>
            <w:r>
              <w:rPr>
                <w:rFonts w:ascii="Microsoft YaHei" w:hAnsi="Microsoft YaHei"/>
                <w:b/>
                <w:color w:val="000000"/>
                <w:sz w:val="19"/>
              </w:rPr>
              <w:t>适用依据与保留方式</w:t>
            </w:r>
          </w:p>
        </w:tc>
      </w:tr>
      <w:tr>
        <w:trPr>
          <w:cantSplit/>
        </w:trPr>
        <w:tc>
          <w:tcPr>
            <w:tcW w:type="dxa" w:w="1701"/>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before="0" w:after="40" w:line="269" w:lineRule="auto"/>
            </w:pPr>
            <w:r>
              <w:rPr>
                <w:rFonts w:ascii="Microsoft YaHei" w:hAnsi="Microsoft YaHei"/>
                <w:b w:val="0"/>
                <w:color w:val="000000"/>
                <w:sz w:val="19"/>
              </w:rPr>
              <w:t>必要 N01</w:t>
            </w:r>
          </w:p>
        </w:tc>
        <w:tc>
          <w:tcPr>
            <w:tcW w:type="dxa" w:w="3855"/>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before="0" w:after="40" w:line="269" w:lineRule="auto"/>
            </w:pPr>
            <w:r>
              <w:rPr>
                <w:rFonts w:ascii="Microsoft YaHei" w:hAnsi="Microsoft YaHei"/>
                <w:b w:val="0"/>
                <w:color w:val="000000"/>
                <w:sz w:val="19"/>
              </w:rPr>
              <w:t>模拟器与真实3.3共同遵循正式ICD、必选覆盖及同一3.6处理规则</w:t>
            </w:r>
          </w:p>
        </w:tc>
        <w:tc>
          <w:tcPr>
            <w:tcW w:type="dxa" w:w="4082"/>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before="0" w:after="40" w:line="269" w:lineRule="auto"/>
            </w:pPr>
            <w:r>
              <w:rPr>
                <w:rFonts w:ascii="Microsoft YaHei" w:hAnsi="Microsoft YaHei"/>
                <w:b w:val="0"/>
                <w:color w:val="000000"/>
                <w:sz w:val="19"/>
              </w:rPr>
              <w:t>用户平滑替换要求；原工具名称不变，输出必须符合正式接口</w:t>
            </w:r>
          </w:p>
        </w:tc>
      </w:tr>
      <w:tr>
        <w:trPr>
          <w:cantSplit/>
        </w:trPr>
        <w:tc>
          <w:tcPr>
            <w:tcW w:type="dxa" w:w="1701"/>
            <w:vAlign w:val="center"/>
            <w:shd w:fill="F4F6F8"/>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before="0" w:after="40" w:line="269" w:lineRule="auto"/>
            </w:pPr>
            <w:r>
              <w:rPr>
                <w:rFonts w:ascii="Microsoft YaHei" w:hAnsi="Microsoft YaHei"/>
                <w:b w:val="0"/>
                <w:color w:val="000000"/>
                <w:sz w:val="19"/>
              </w:rPr>
              <w:t>必要 N02</w:t>
            </w:r>
          </w:p>
        </w:tc>
        <w:tc>
          <w:tcPr>
            <w:tcW w:type="dxa" w:w="3855"/>
            <w:vAlign w:val="center"/>
            <w:shd w:fill="F4F6F8"/>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before="0" w:after="40" w:line="269" w:lineRule="auto"/>
            </w:pPr>
            <w:r>
              <w:rPr>
                <w:rFonts w:ascii="Microsoft YaHei" w:hAnsi="Microsoft YaHei"/>
                <w:b w:val="0"/>
                <w:color w:val="000000"/>
                <w:sz w:val="19"/>
              </w:rPr>
              <w:t>场景脚本交解释器；CAN日志交canplayer；历史记录按链路类型处理</w:t>
            </w:r>
          </w:p>
        </w:tc>
        <w:tc>
          <w:tcPr>
            <w:tcW w:type="dxa" w:w="4082"/>
            <w:vAlign w:val="center"/>
            <w:shd w:fill="F4F6F8"/>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before="0" w:after="40" w:line="269" w:lineRule="auto"/>
            </w:pPr>
            <w:r>
              <w:rPr>
                <w:rFonts w:ascii="Microsoft YaHei" w:hAnsi="Microsoft YaHei"/>
                <w:b w:val="0"/>
                <w:color w:val="000000"/>
                <w:sz w:val="19"/>
              </w:rPr>
              <w:t>原输入关系纠错；场景仍可调用原CAN回放和PCAP回放工具</w:t>
            </w:r>
          </w:p>
        </w:tc>
      </w:tr>
      <w:tr>
        <w:trPr>
          <w:cantSplit/>
        </w:trPr>
        <w:tc>
          <w:tcPr>
            <w:tcW w:type="dxa" w:w="1701"/>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before="0" w:after="40" w:line="269" w:lineRule="auto"/>
            </w:pPr>
            <w:r>
              <w:rPr>
                <w:rFonts w:ascii="Microsoft YaHei" w:hAnsi="Microsoft YaHei"/>
                <w:b w:val="0"/>
                <w:color w:val="000000"/>
                <w:sz w:val="19"/>
              </w:rPr>
              <w:t>必要 N03</w:t>
            </w:r>
          </w:p>
        </w:tc>
        <w:tc>
          <w:tcPr>
            <w:tcW w:type="dxa" w:w="3855"/>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before="0" w:after="40" w:line="269" w:lineRule="auto"/>
            </w:pPr>
            <w:r>
              <w:rPr>
                <w:rFonts w:ascii="Microsoft YaHei" w:hAnsi="Microsoft YaHei"/>
                <w:b w:val="0"/>
                <w:color w:val="000000"/>
                <w:sz w:val="19"/>
              </w:rPr>
              <w:t>合法编码、原码检查、字段语义、模型映射及实际应用证据</w:t>
            </w:r>
          </w:p>
        </w:tc>
        <w:tc>
          <w:tcPr>
            <w:tcW w:type="dxa" w:w="4082"/>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before="0" w:after="40" w:line="269" w:lineRule="auto"/>
            </w:pPr>
            <w:r>
              <w:rPr>
                <w:rFonts w:ascii="Microsoft YaHei" w:hAnsi="Microsoft YaHei"/>
                <w:b w:val="0"/>
                <w:color w:val="000000"/>
                <w:sz w:val="19"/>
              </w:rPr>
              <w:t>同协议不仅是能发包；可复用原工具和已有证据模块</w:t>
            </w:r>
          </w:p>
        </w:tc>
      </w:tr>
      <w:tr>
        <w:trPr>
          <w:cantSplit/>
        </w:trPr>
        <w:tc>
          <w:tcPr>
            <w:tcW w:type="dxa" w:w="1701"/>
            <w:vAlign w:val="center"/>
            <w:shd w:fill="F4F6F8"/>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before="0" w:after="40" w:line="269" w:lineRule="auto"/>
            </w:pPr>
            <w:r>
              <w:rPr>
                <w:rFonts w:ascii="Microsoft YaHei" w:hAnsi="Microsoft YaHei"/>
                <w:b w:val="0"/>
                <w:color w:val="000000"/>
                <w:sz w:val="19"/>
              </w:rPr>
              <w:t>必要 N04</w:t>
            </w:r>
          </w:p>
        </w:tc>
        <w:tc>
          <w:tcPr>
            <w:tcW w:type="dxa" w:w="3855"/>
            <w:vAlign w:val="center"/>
            <w:shd w:fill="F4F6F8"/>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before="0" w:after="40" w:line="269" w:lineRule="auto"/>
            </w:pPr>
            <w:r>
              <w:rPr>
                <w:rFonts w:ascii="Microsoft YaHei" w:hAnsi="Microsoft YaHei"/>
                <w:b w:val="0"/>
                <w:color w:val="000000"/>
                <w:sz w:val="19"/>
              </w:rPr>
              <w:t>所有正常输入走3.6正式入口，替换时不改解析、映射和业务代码</w:t>
            </w:r>
          </w:p>
        </w:tc>
        <w:tc>
          <w:tcPr>
            <w:tcW w:type="dxa" w:w="4082"/>
            <w:vAlign w:val="center"/>
            <w:shd w:fill="F4F6F8"/>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before="0" w:after="40" w:line="269" w:lineRule="auto"/>
            </w:pPr>
            <w:r>
              <w:rPr>
                <w:rFonts w:ascii="Microsoft YaHei" w:hAnsi="Microsoft YaHei"/>
                <w:b w:val="0"/>
                <w:color w:val="000000"/>
                <w:sz w:val="19"/>
              </w:rPr>
              <w:t>用户要求；可有多个正式通道，不增加模拟专用外部汇聚器</w:t>
            </w:r>
          </w:p>
        </w:tc>
      </w:tr>
      <w:tr>
        <w:trPr>
          <w:cantSplit/>
        </w:trPr>
        <w:tc>
          <w:tcPr>
            <w:tcW w:type="dxa" w:w="1701"/>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before="0" w:after="40" w:line="269" w:lineRule="auto"/>
            </w:pPr>
            <w:r>
              <w:rPr>
                <w:rFonts w:ascii="Microsoft YaHei" w:hAnsi="Microsoft YaHei"/>
                <w:b w:val="0"/>
                <w:color w:val="000000"/>
                <w:sz w:val="19"/>
              </w:rPr>
              <w:t>必要 N05</w:t>
            </w:r>
          </w:p>
        </w:tc>
        <w:tc>
          <w:tcPr>
            <w:tcW w:type="dxa" w:w="3855"/>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before="0" w:after="40" w:line="269" w:lineRule="auto"/>
            </w:pPr>
            <w:r>
              <w:rPr>
                <w:rFonts w:ascii="Microsoft YaHei" w:hAnsi="Microsoft YaHei"/>
                <w:b w:val="0"/>
                <w:color w:val="000000"/>
                <w:sz w:val="19"/>
              </w:rPr>
              <w:t>发送控制权、时序、安全、记录及验收覆盖按共同基线执行</w:t>
            </w:r>
          </w:p>
        </w:tc>
        <w:tc>
          <w:tcPr>
            <w:tcW w:type="dxa" w:w="4082"/>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before="0" w:after="40" w:line="269" w:lineRule="auto"/>
            </w:pPr>
            <w:r>
              <w:rPr>
                <w:rFonts w:ascii="Microsoft YaHei" w:hAnsi="Microsoft YaHei"/>
                <w:b w:val="0"/>
                <w:color w:val="000000"/>
                <w:sz w:val="19"/>
              </w:rPr>
              <w:t>避免竞争写入和误判；辅助监听分支继续保留</w:t>
            </w:r>
          </w:p>
        </w:tc>
      </w:tr>
      <w:tr>
        <w:trPr>
          <w:cantSplit/>
        </w:trPr>
        <w:tc>
          <w:tcPr>
            <w:tcW w:type="dxa" w:w="1701"/>
            <w:vAlign w:val="center"/>
            <w:shd w:fill="F4F6F8"/>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before="0" w:after="40" w:line="269" w:lineRule="auto"/>
            </w:pPr>
            <w:r>
              <w:rPr>
                <w:rFonts w:ascii="Microsoft YaHei" w:hAnsi="Microsoft YaHei"/>
                <w:b w:val="0"/>
                <w:color w:val="000000"/>
                <w:sz w:val="19"/>
              </w:rPr>
              <w:t>条件 C01</w:t>
            </w:r>
          </w:p>
        </w:tc>
        <w:tc>
          <w:tcPr>
            <w:tcW w:type="dxa" w:w="3855"/>
            <w:vAlign w:val="center"/>
            <w:shd w:fill="F4F6F8"/>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before="0" w:after="40" w:line="269" w:lineRule="auto"/>
            </w:pPr>
            <w:r>
              <w:rPr>
                <w:rFonts w:ascii="Microsoft YaHei" w:hAnsi="Microsoft YaHei"/>
                <w:b w:val="0"/>
                <w:color w:val="000000"/>
                <w:sz w:val="19"/>
              </w:rPr>
              <w:t>真实控制器、CANFD/车载以太网驱动及物理测量</w:t>
            </w:r>
          </w:p>
        </w:tc>
        <w:tc>
          <w:tcPr>
            <w:tcW w:type="dxa" w:w="4082"/>
            <w:vAlign w:val="center"/>
            <w:shd w:fill="F4F6F8"/>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before="0" w:after="40" w:line="269" w:lineRule="auto"/>
            </w:pPr>
            <w:r>
              <w:rPr>
                <w:rFonts w:ascii="Microsoft YaHei" w:hAnsi="Microsoft YaHei"/>
                <w:b w:val="0"/>
                <w:color w:val="000000"/>
                <w:sz w:val="19"/>
              </w:rPr>
              <w:t>正式物理通道启用时必须验证；vcan继续用于开发早期软件验证</w:t>
            </w:r>
          </w:p>
        </w:tc>
      </w:tr>
      <w:tr>
        <w:trPr>
          <w:cantSplit/>
        </w:trPr>
        <w:tc>
          <w:tcPr>
            <w:tcW w:type="dxa" w:w="1701"/>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before="0" w:after="40" w:line="269" w:lineRule="auto"/>
            </w:pPr>
            <w:r>
              <w:rPr>
                <w:rFonts w:ascii="Microsoft YaHei" w:hAnsi="Microsoft YaHei"/>
                <w:b w:val="0"/>
                <w:color w:val="000000"/>
                <w:sz w:val="19"/>
              </w:rPr>
              <w:t>条件 C02</w:t>
            </w:r>
          </w:p>
        </w:tc>
        <w:tc>
          <w:tcPr>
            <w:tcW w:type="dxa" w:w="3855"/>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before="0" w:after="40" w:line="269" w:lineRule="auto"/>
            </w:pPr>
            <w:r>
              <w:rPr>
                <w:rFonts w:ascii="Microsoft YaHei" w:hAnsi="Microsoft YaHei"/>
                <w:b w:val="0"/>
                <w:color w:val="000000"/>
                <w:sz w:val="19"/>
              </w:rPr>
              <w:t>TCP连接、鉴权、服务发现、分片、应用CRC或原子组</w:t>
            </w:r>
          </w:p>
        </w:tc>
        <w:tc>
          <w:tcPr>
            <w:tcW w:type="dxa" w:w="4082"/>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before="0" w:after="40" w:line="269" w:lineRule="auto"/>
            </w:pPr>
            <w:r>
              <w:rPr>
                <w:rFonts w:ascii="Microsoft YaHei" w:hAnsi="Microsoft YaHei"/>
                <w:b w:val="0"/>
                <w:color w:val="000000"/>
                <w:sz w:val="19"/>
              </w:rPr>
              <w:t>仅对正式ICD含相应机制的消息执行；不凭图示新增协议</w:t>
            </w:r>
          </w:p>
        </w:tc>
      </w:tr>
      <w:tr>
        <w:trPr>
          <w:cantSplit/>
        </w:trPr>
        <w:tc>
          <w:tcPr>
            <w:tcW w:type="dxa" w:w="1701"/>
            <w:vAlign w:val="center"/>
            <w:shd w:fill="F4F6F8"/>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before="0" w:after="40" w:line="269" w:lineRule="auto"/>
            </w:pPr>
            <w:r>
              <w:rPr>
                <w:rFonts w:ascii="Microsoft YaHei" w:hAnsi="Microsoft YaHei"/>
                <w:b w:val="0"/>
                <w:color w:val="000000"/>
                <w:sz w:val="19"/>
              </w:rPr>
              <w:t>条件 C03</w:t>
            </w:r>
          </w:p>
        </w:tc>
        <w:tc>
          <w:tcPr>
            <w:tcW w:type="dxa" w:w="3855"/>
            <w:vAlign w:val="center"/>
            <w:shd w:fill="F4F6F8"/>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before="0" w:after="40" w:line="269" w:lineRule="auto"/>
            </w:pPr>
            <w:r>
              <w:rPr>
                <w:rFonts w:ascii="Microsoft YaHei" w:hAnsi="Microsoft YaHei"/>
                <w:b w:val="0"/>
                <w:color w:val="000000"/>
                <w:sz w:val="19"/>
              </w:rPr>
              <w:t>回放方向筛选、地址改写和动态字段/会话重建</w:t>
            </w:r>
          </w:p>
        </w:tc>
        <w:tc>
          <w:tcPr>
            <w:tcW w:type="dxa" w:w="4082"/>
            <w:vAlign w:val="center"/>
            <w:shd w:fill="F4F6F8"/>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before="0" w:after="40" w:line="269" w:lineRule="auto"/>
            </w:pPr>
            <w:r>
              <w:rPr>
                <w:rFonts w:ascii="Microsoft YaHei" w:hAnsi="Microsoft YaHei"/>
                <w:b w:val="0"/>
                <w:color w:val="000000"/>
                <w:sz w:val="19"/>
              </w:rPr>
              <w:t>每次先检查；只有原记录不满足当前正式规则时才改写或重建</w:t>
            </w:r>
          </w:p>
        </w:tc>
      </w:tr>
      <w:tr>
        <w:trPr>
          <w:cantSplit/>
        </w:trPr>
        <w:tc>
          <w:tcPr>
            <w:tcW w:type="dxa" w:w="1701"/>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before="0" w:after="40" w:line="269" w:lineRule="auto"/>
            </w:pPr>
            <w:r>
              <w:rPr>
                <w:rFonts w:ascii="Microsoft YaHei" w:hAnsi="Microsoft YaHei"/>
                <w:b w:val="0"/>
                <w:color w:val="000000"/>
                <w:sz w:val="19"/>
              </w:rPr>
              <w:t>条件 C04</w:t>
            </w:r>
          </w:p>
        </w:tc>
        <w:tc>
          <w:tcPr>
            <w:tcW w:type="dxa" w:w="3855"/>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before="0" w:after="40" w:line="269" w:lineRule="auto"/>
            </w:pPr>
            <w:r>
              <w:rPr>
                <w:rFonts w:ascii="Microsoft YaHei" w:hAnsi="Microsoft YaHei"/>
                <w:b w:val="0"/>
                <w:color w:val="000000"/>
                <w:sz w:val="19"/>
              </w:rPr>
              <w:t>新增模型探针或反馈消息</w:t>
            </w:r>
          </w:p>
        </w:tc>
        <w:tc>
          <w:tcPr>
            <w:tcW w:type="dxa" w:w="4082"/>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before="0" w:after="40" w:line="269" w:lineRule="auto"/>
            </w:pPr>
            <w:r>
              <w:rPr>
                <w:rFonts w:ascii="Microsoft YaHei" w:hAnsi="Microsoft YaHei"/>
                <w:b w:val="0"/>
                <w:color w:val="000000"/>
                <w:sz w:val="19"/>
              </w:rPr>
              <w:t>已有机制不足才补探针；新线上反馈须在冻结前共同批准，不能模拟专用</w:t>
            </w:r>
          </w:p>
        </w:tc>
      </w:tr>
      <w:tr>
        <w:trPr>
          <w:cantSplit/>
        </w:trPr>
        <w:tc>
          <w:tcPr>
            <w:tcW w:type="dxa" w:w="1701"/>
            <w:vAlign w:val="center"/>
            <w:shd w:fill="F4F6F8"/>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before="0" w:after="40" w:line="269" w:lineRule="auto"/>
            </w:pPr>
            <w:r>
              <w:rPr>
                <w:rFonts w:ascii="Microsoft YaHei" w:hAnsi="Microsoft YaHei"/>
                <w:b w:val="0"/>
                <w:color w:val="000000"/>
                <w:sz w:val="19"/>
              </w:rPr>
              <w:t>条件 C05</w:t>
            </w:r>
          </w:p>
        </w:tc>
        <w:tc>
          <w:tcPr>
            <w:tcW w:type="dxa" w:w="3855"/>
            <w:vAlign w:val="center"/>
            <w:shd w:fill="F4F6F8"/>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before="0" w:after="40" w:line="269" w:lineRule="auto"/>
            </w:pPr>
            <w:r>
              <w:rPr>
                <w:rFonts w:ascii="Microsoft YaHei" w:hAnsi="Microsoft YaHei"/>
                <w:b w:val="0"/>
                <w:color w:val="000000"/>
                <w:sz w:val="19"/>
              </w:rPr>
              <w:t>时间戳、跨主机同步、TSN及高精度调度</w:t>
            </w:r>
          </w:p>
        </w:tc>
        <w:tc>
          <w:tcPr>
            <w:tcW w:type="dxa" w:w="4082"/>
            <w:vAlign w:val="center"/>
            <w:shd w:fill="F4F6F8"/>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before="0" w:after="40" w:line="269" w:lineRule="auto"/>
            </w:pPr>
            <w:r>
              <w:rPr>
                <w:rFonts w:ascii="Microsoft YaHei" w:hAnsi="Microsoft YaHei"/>
                <w:b w:val="0"/>
                <w:color w:val="000000"/>
                <w:sz w:val="19"/>
              </w:rPr>
              <w:t>按标书对应能力和实际链路验收，不由普通网卡发包推定</w:t>
            </w:r>
          </w:p>
        </w:tc>
      </w:tr>
      <w:tr>
        <w:trPr>
          <w:cantSplit/>
        </w:trPr>
        <w:tc>
          <w:tcPr>
            <w:tcW w:type="dxa" w:w="1701"/>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before="0" w:after="40" w:line="269" w:lineRule="auto"/>
            </w:pPr>
            <w:r>
              <w:rPr>
                <w:rFonts w:ascii="Microsoft YaHei" w:hAnsi="Microsoft YaHei"/>
                <w:b w:val="0"/>
                <w:color w:val="000000"/>
                <w:sz w:val="19"/>
              </w:rPr>
              <w:t>可选 O01</w:t>
            </w:r>
          </w:p>
        </w:tc>
        <w:tc>
          <w:tcPr>
            <w:tcW w:type="dxa" w:w="3855"/>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before="0" w:after="40" w:line="269" w:lineRule="auto"/>
            </w:pPr>
            <w:r>
              <w:rPr>
                <w:rFonts w:ascii="Microsoft YaHei" w:hAnsi="Microsoft YaHei"/>
                <w:b w:val="0"/>
                <w:color w:val="000000"/>
                <w:sz w:val="19"/>
              </w:rPr>
              <w:t>统一字节发送流水线、额外socket客户端或专用协议栈</w:t>
            </w:r>
          </w:p>
        </w:tc>
        <w:tc>
          <w:tcPr>
            <w:tcW w:type="dxa" w:w="4082"/>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before="0" w:after="40" w:line="269" w:lineRule="auto"/>
            </w:pPr>
            <w:r>
              <w:rPr>
                <w:rFonts w:ascii="Microsoft YaHei" w:hAnsi="Microsoft YaHei"/>
                <w:b w:val="0"/>
                <w:color w:val="000000"/>
                <w:sz w:val="19"/>
              </w:rPr>
              <w:t>按已证明工具能力缺口选择；不要求全部报文经同一转发进程</w:t>
            </w:r>
          </w:p>
        </w:tc>
      </w:tr>
      <w:tr>
        <w:trPr>
          <w:cantSplit/>
        </w:trPr>
        <w:tc>
          <w:tcPr>
            <w:tcW w:type="dxa" w:w="1701"/>
            <w:vAlign w:val="center"/>
            <w:shd w:fill="F4F6F8"/>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before="0" w:after="40" w:line="269" w:lineRule="auto"/>
            </w:pPr>
            <w:r>
              <w:rPr>
                <w:rFonts w:ascii="Microsoft YaHei" w:hAnsi="Microsoft YaHei"/>
                <w:b w:val="0"/>
                <w:color w:val="000000"/>
                <w:sz w:val="19"/>
              </w:rPr>
              <w:t>可选 O02</w:t>
            </w:r>
          </w:p>
        </w:tc>
        <w:tc>
          <w:tcPr>
            <w:tcW w:type="dxa" w:w="3855"/>
            <w:vAlign w:val="center"/>
            <w:shd w:fill="F4F6F8"/>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before="0" w:after="40" w:line="269" w:lineRule="auto"/>
            </w:pPr>
            <w:r>
              <w:rPr>
                <w:rFonts w:ascii="Microsoft YaHei" w:hAnsi="Microsoft YaHei"/>
                <w:b w:val="0"/>
                <w:color w:val="000000"/>
                <w:sz w:val="19"/>
              </w:rPr>
              <w:t>manifest/replay-plan文件名、配置Schema与具体探针/队列实现</w:t>
            </w:r>
          </w:p>
        </w:tc>
        <w:tc>
          <w:tcPr>
            <w:tcW w:type="dxa" w:w="4082"/>
            <w:vAlign w:val="center"/>
            <w:shd w:fill="F4F6F8"/>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before="0" w:after="40" w:line="269" w:lineRule="auto"/>
            </w:pPr>
            <w:r>
              <w:rPr>
                <w:rFonts w:ascii="Microsoft YaHei" w:hAnsi="Microsoft YaHei"/>
                <w:b w:val="0"/>
                <w:color w:val="000000"/>
                <w:sz w:val="19"/>
              </w:rPr>
              <w:t>可用等价结构；版本绑定、有限资源及证据完整性要求仍保留</w:t>
            </w:r>
          </w:p>
        </w:tc>
      </w:tr>
      <w:tr>
        <w:trPr>
          <w:cantSplit/>
        </w:trPr>
        <w:tc>
          <w:tcPr>
            <w:tcW w:type="dxa" w:w="1701"/>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before="0" w:after="40" w:line="269" w:lineRule="auto"/>
            </w:pPr>
            <w:r>
              <w:rPr>
                <w:rFonts w:ascii="Microsoft YaHei" w:hAnsi="Microsoft YaHei"/>
                <w:b w:val="0"/>
                <w:color w:val="000000"/>
                <w:sz w:val="19"/>
              </w:rPr>
              <w:t>可选 O03</w:t>
            </w:r>
          </w:p>
        </w:tc>
        <w:tc>
          <w:tcPr>
            <w:tcW w:type="dxa" w:w="3855"/>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before="0" w:after="40" w:line="269" w:lineRule="auto"/>
            </w:pPr>
            <w:r>
              <w:rPr>
                <w:rFonts w:ascii="Microsoft YaHei" w:hAnsi="Microsoft YaHei"/>
                <w:b w:val="0"/>
                <w:color w:val="000000"/>
                <w:sz w:val="19"/>
              </w:rPr>
              <w:t>GUI、自研界面、辅助监听以及特定工具组合</w:t>
            </w:r>
          </w:p>
        </w:tc>
        <w:tc>
          <w:tcPr>
            <w:tcW w:type="dxa" w:w="4082"/>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before="0" w:after="40" w:line="269" w:lineRule="auto"/>
            </w:pPr>
            <w:r>
              <w:rPr>
                <w:rFonts w:ascii="Microsoft YaHei" w:hAnsi="Microsoft YaHei"/>
                <w:b w:val="0"/>
                <w:color w:val="000000"/>
                <w:sz w:val="19"/>
              </w:rPr>
              <w:t>保留原分支能力，但不要求每次运行同时启用所有工具</w:t>
            </w:r>
          </w:p>
        </w:tc>
      </w:tr>
    </w:tbl>
    <w:p>
      <w:pPr>
        <w:widowControl/>
      </w:pPr>
    </w:p>
    <w:p>
      <w:pPr>
        <w:widowControl/>
      </w:pPr>
      <w:r>
        <w:t>相较V1.3，本版撤回将所有分支合并为统一发送流水线的预设，也撤回将Scapy/Ostinato一概限于异常测试的表述。原信号生成、CAN工具、GUI、CAN回放、以太网模拟和PCAP回放六条链都在图2单独保留；Robot Framework的工具控制与标准管理接口控制亦保留。共同正式接入和证据要求继续有效，不能借“保留工具”保留错误输入关系或模拟专用旁路。</w:t>
      </w:r>
    </w:p>
    <w:p>
      <w:pPr>
        <w:widowControl/>
      </w:pPr>
      <w:r>
        <w:t>图2的共享接入是3.6正式模块的逻辑职责，可由多个驱动与进程实现，不强制部署成单独网关。统一管理是资源版本、场景执行、控制权与记录的一致管理；工具可直接对正式通道发送。反馈可由独立采集器关联，原监听/GUI路径不必串入发送链。SDK适配或协议栈确需补充时在阶段B至D完成并冻结，绝不推迟到真实3.3替换阶段。</w:t>
      </w:r>
    </w:p>
    <w:p>
      <w:pPr>
        <w:pStyle w:val="4"/>
        <w:keepNext/>
        <w:widowControl/>
      </w:pPr>
      <w:r>
        <w:rPr>
          <w:color w:val="000000"/>
        </w:rPr>
        <w:t>9.16 原工具继续使用条件与选型评估</w:t>
      </w:r>
    </w:p>
    <w:p>
      <w:pPr>
        <w:widowControl/>
      </w:pPr>
      <w:r>
        <w:t>结论：不预设更换任何原工具，均保留其原职责或作为候选；是否能承担全部必选业务必须以实际ICD、锁定版本、目标驱动和实测证据决定。下表是技术适用性评估，不是已安装、已贯通或验收通过声明。工具公开能力不等于标书选定板卡可直接使用。</w:t>
      </w:r>
    </w:p>
    <w:tbl>
      <w:tblPr>
        <w:tblW w:type="auto" w:w="0"/>
        <w:jc w:val="center"/>
        <w:tblLayout w:type="fixed"/>
        <w:tblLook w:firstColumn="1" w:firstRow="1" w:lastColumn="0" w:lastRow="0" w:noHBand="0" w:noVBand="1" w:val="04A0"/>
      </w:tblPr>
      <w:tblGrid>
        <w:gridCol w:w="1701"/>
        <w:gridCol w:w="3572"/>
        <w:gridCol w:w="4365"/>
      </w:tblGrid>
      <w:tr>
        <w:trPr>
          <w:cantSplit/>
          <w:tblHeader/>
        </w:trPr>
        <w:tc>
          <w:tcPr>
            <w:tcW w:type="dxa" w:w="1701"/>
            <w:vAlign w:val="center"/>
            <w:shd w:fill="DCE9F4"/>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spacing w:before="0" w:after="40" w:line="269" w:lineRule="auto"/>
            </w:pPr>
            <w:r>
              <w:rPr>
                <w:rFonts w:ascii="Microsoft YaHei" w:hAnsi="Microsoft YaHei"/>
                <w:b/>
                <w:color w:val="000000"/>
                <w:sz w:val="19"/>
              </w:rPr>
              <w:t>原工具</w:t>
            </w:r>
          </w:p>
        </w:tc>
        <w:tc>
          <w:tcPr>
            <w:tcW w:type="dxa" w:w="3572"/>
            <w:vAlign w:val="center"/>
            <w:shd w:fill="DCE9F4"/>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spacing w:before="0" w:after="40" w:line="269" w:lineRule="auto"/>
            </w:pPr>
            <w:r>
              <w:rPr>
                <w:rFonts w:ascii="Microsoft YaHei" w:hAnsi="Microsoft YaHei"/>
                <w:b/>
                <w:color w:val="000000"/>
                <w:sz w:val="19"/>
              </w:rPr>
              <w:t>保留结论与适用职责</w:t>
            </w:r>
          </w:p>
        </w:tc>
        <w:tc>
          <w:tcPr>
            <w:tcW w:type="dxa" w:w="4365"/>
            <w:vAlign w:val="center"/>
            <w:shd w:fill="DCE9F4"/>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spacing w:before="0" w:after="40" w:line="269" w:lineRule="auto"/>
            </w:pPr>
            <w:r>
              <w:rPr>
                <w:rFonts w:ascii="Microsoft YaHei" w:hAnsi="Microsoft YaHei"/>
                <w:b/>
                <w:color w:val="000000"/>
                <w:sz w:val="19"/>
              </w:rPr>
              <w:t>条件及缺口验证</w:t>
            </w:r>
          </w:p>
        </w:tc>
      </w:tr>
      <w:tr>
        <w:trPr>
          <w:cantSplit/>
        </w:trPr>
        <w:tc>
          <w:tcPr>
            <w:tcW w:type="dxa" w:w="1701"/>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before="0" w:after="40" w:line="269" w:lineRule="auto"/>
            </w:pPr>
            <w:r>
              <w:rPr>
                <w:rFonts w:ascii="Microsoft YaHei" w:hAnsi="Microsoft YaHei"/>
                <w:b w:val="0"/>
                <w:color w:val="000000"/>
                <w:sz w:val="19"/>
              </w:rPr>
              <w:t>SocketCAN / vcan</w:t>
            </w:r>
          </w:p>
        </w:tc>
        <w:tc>
          <w:tcPr>
            <w:tcW w:type="dxa" w:w="3572"/>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before="0" w:after="40" w:line="269" w:lineRule="auto"/>
            </w:pPr>
            <w:r>
              <w:rPr>
                <w:rFonts w:ascii="Microsoft YaHei" w:hAnsi="Microsoft YaHei"/>
                <w:b w:val="0"/>
                <w:color w:val="000000"/>
                <w:sz w:val="19"/>
              </w:rPr>
              <w:t>保留软件虚拟链；真实设备有可用SocketCAN驱动时继续用can接口</w:t>
            </w:r>
          </w:p>
        </w:tc>
        <w:tc>
          <w:tcPr>
            <w:tcW w:type="dxa" w:w="4365"/>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before="0" w:after="40" w:line="269" w:lineRule="auto"/>
            </w:pPr>
            <w:r>
              <w:rPr>
                <w:rFonts w:ascii="Microsoft YaHei" w:hAnsi="Microsoft YaHei"/>
                <w:b w:val="0"/>
                <w:color w:val="000000"/>
                <w:sz w:val="19"/>
              </w:rPr>
              <w:t>vcan限同机/同命名空间；真实CAN/FD速率、驱动、终端和通道另测。仅有厂家SDK时不能假定can-utils等直接可用。依据T1/T2。</w:t>
            </w:r>
          </w:p>
        </w:tc>
      </w:tr>
      <w:tr>
        <w:trPr>
          <w:cantSplit/>
        </w:trPr>
        <w:tc>
          <w:tcPr>
            <w:tcW w:type="dxa" w:w="1701"/>
            <w:vAlign w:val="center"/>
            <w:shd w:fill="F4F6F8"/>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before="0" w:after="40" w:line="269" w:lineRule="auto"/>
            </w:pPr>
            <w:r>
              <w:rPr>
                <w:rFonts w:ascii="Microsoft YaHei" w:hAnsi="Microsoft YaHei"/>
                <w:b w:val="0"/>
                <w:color w:val="000000"/>
                <w:sz w:val="19"/>
              </w:rPr>
              <w:t>cantools</w:t>
            </w:r>
          </w:p>
        </w:tc>
        <w:tc>
          <w:tcPr>
            <w:tcW w:type="dxa" w:w="3572"/>
            <w:vAlign w:val="center"/>
            <w:shd w:fill="F4F6F8"/>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before="0" w:after="40" w:line="269" w:lineRule="auto"/>
            </w:pPr>
            <w:r>
              <w:rPr>
                <w:rFonts w:ascii="Microsoft YaHei" w:hAnsi="Microsoft YaHei"/>
                <w:b w:val="0"/>
                <w:color w:val="000000"/>
                <w:sz w:val="19"/>
              </w:rPr>
              <w:t>保留CAN信号编解码，作为正常业务主工具候选</w:t>
            </w:r>
          </w:p>
        </w:tc>
        <w:tc>
          <w:tcPr>
            <w:tcW w:type="dxa" w:w="4365"/>
            <w:vAlign w:val="center"/>
            <w:shd w:fill="F4F6F8"/>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before="0" w:after="40" w:line="269" w:lineRule="auto"/>
            </w:pPr>
            <w:r>
              <w:rPr>
                <w:rFonts w:ascii="Microsoft YaHei" w:hAnsi="Microsoft YaHei"/>
                <w:b w:val="0"/>
                <w:color w:val="000000"/>
                <w:sz w:val="19"/>
              </w:rPr>
              <w:t>用实际DBC/ARXML及黄金向量测试位布局、复用和FD；应用CRC/会话等按ICD补齐，不将文件解析等同完整协议栈。依据T3。</w:t>
            </w:r>
          </w:p>
        </w:tc>
      </w:tr>
      <w:tr>
        <w:trPr>
          <w:cantSplit/>
        </w:trPr>
        <w:tc>
          <w:tcPr>
            <w:tcW w:type="dxa" w:w="1701"/>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before="0" w:after="40" w:line="269" w:lineRule="auto"/>
            </w:pPr>
            <w:r>
              <w:rPr>
                <w:rFonts w:ascii="Microsoft YaHei" w:hAnsi="Microsoft YaHei"/>
                <w:b w:val="0"/>
                <w:color w:val="000000"/>
                <w:sz w:val="19"/>
              </w:rPr>
              <w:t>python-can</w:t>
            </w:r>
          </w:p>
        </w:tc>
        <w:tc>
          <w:tcPr>
            <w:tcW w:type="dxa" w:w="3572"/>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before="0" w:after="40" w:line="269" w:lineRule="auto"/>
            </w:pPr>
            <w:r>
              <w:rPr>
                <w:rFonts w:ascii="Microsoft YaHei" w:hAnsi="Microsoft YaHei"/>
                <w:b w:val="0"/>
                <w:color w:val="000000"/>
                <w:sz w:val="19"/>
              </w:rPr>
              <w:t>保留CAN发送、接收及周期调度</w:t>
            </w:r>
          </w:p>
        </w:tc>
        <w:tc>
          <w:tcPr>
            <w:tcW w:type="dxa" w:w="4365"/>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before="0" w:after="40" w:line="269" w:lineRule="auto"/>
            </w:pPr>
            <w:r>
              <w:rPr>
                <w:rFonts w:ascii="Microsoft YaHei" w:hAnsi="Microsoft YaHei"/>
                <w:b w:val="0"/>
                <w:color w:val="000000"/>
                <w:sz w:val="19"/>
              </w:rPr>
              <w:t>确认所选硬件后端支持实际设备与FD/BRS，测双向、负载和动态周期；不能只因Python API可调用便认定满足实时指标。依据T2。</w:t>
            </w:r>
          </w:p>
        </w:tc>
      </w:tr>
      <w:tr>
        <w:trPr>
          <w:cantSplit/>
        </w:trPr>
        <w:tc>
          <w:tcPr>
            <w:tcW w:type="dxa" w:w="1701"/>
            <w:vAlign w:val="center"/>
            <w:shd w:fill="F4F6F8"/>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before="0" w:after="40" w:line="269" w:lineRule="auto"/>
            </w:pPr>
            <w:r>
              <w:rPr>
                <w:rFonts w:ascii="Microsoft YaHei" w:hAnsi="Microsoft YaHei"/>
                <w:b w:val="0"/>
                <w:color w:val="000000"/>
                <w:sz w:val="19"/>
              </w:rPr>
              <w:t>can-utils</w:t>
            </w:r>
          </w:p>
        </w:tc>
        <w:tc>
          <w:tcPr>
            <w:tcW w:type="dxa" w:w="3572"/>
            <w:vAlign w:val="center"/>
            <w:shd w:fill="F4F6F8"/>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before="0" w:after="40" w:line="269" w:lineRule="auto"/>
            </w:pPr>
            <w:r>
              <w:rPr>
                <w:rFonts w:ascii="Microsoft YaHei" w:hAnsi="Microsoft YaHei"/>
                <w:b w:val="0"/>
                <w:color w:val="000000"/>
                <w:sz w:val="19"/>
              </w:rPr>
              <w:t>保留收发、监听、记录、固定帧、负载及批准回放分支</w:t>
            </w:r>
          </w:p>
        </w:tc>
        <w:tc>
          <w:tcPr>
            <w:tcW w:type="dxa" w:w="4365"/>
            <w:vAlign w:val="center"/>
            <w:shd w:fill="F4F6F8"/>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before="0" w:after="40" w:line="269" w:lineRule="auto"/>
            </w:pPr>
            <w:r>
              <w:rPr>
                <w:rFonts w:ascii="Microsoft YaHei" w:hAnsi="Microsoft YaHei"/>
                <w:b w:val="0"/>
                <w:color w:val="000000"/>
                <w:sz w:val="19"/>
              </w:rPr>
              <w:t>需要可用SocketCAN；动态业务字段或交互由外围编排实现并验证。物理CRC/仲裁错误不能由普通载荷发送替代。依据T1/T6。</w:t>
            </w:r>
          </w:p>
        </w:tc>
      </w:tr>
      <w:tr>
        <w:trPr>
          <w:cantSplit/>
        </w:trPr>
        <w:tc>
          <w:tcPr>
            <w:tcW w:type="dxa" w:w="1701"/>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before="0" w:after="40" w:line="269" w:lineRule="auto"/>
            </w:pPr>
            <w:r>
              <w:rPr>
                <w:rFonts w:ascii="Microsoft YaHei" w:hAnsi="Microsoft YaHei"/>
                <w:b w:val="0"/>
                <w:color w:val="000000"/>
                <w:sz w:val="19"/>
              </w:rPr>
              <w:t>SavvyCAN</w:t>
            </w:r>
          </w:p>
        </w:tc>
        <w:tc>
          <w:tcPr>
            <w:tcW w:type="dxa" w:w="3572"/>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before="0" w:after="40" w:line="269" w:lineRule="auto"/>
            </w:pPr>
            <w:r>
              <w:rPr>
                <w:rFonts w:ascii="Microsoft YaHei" w:hAnsi="Microsoft YaHei"/>
                <w:b w:val="0"/>
                <w:color w:val="000000"/>
                <w:sz w:val="19"/>
              </w:rPr>
              <w:t>保留GUI观察、分析、记录与人工受控发送</w:t>
            </w:r>
          </w:p>
        </w:tc>
        <w:tc>
          <w:tcPr>
            <w:tcW w:type="dxa" w:w="4365"/>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before="0" w:after="40" w:line="269" w:lineRule="auto"/>
            </w:pPr>
            <w:r>
              <w:rPr>
                <w:rFonts w:ascii="Microsoft YaHei" w:hAnsi="Microsoft YaHei"/>
                <w:b w:val="0"/>
                <w:color w:val="000000"/>
                <w:sz w:val="19"/>
              </w:rPr>
              <w:t>逐项验证锁定Qt后端、实际板卡、FD、日志格式和DBC显示；不能把GUI定时或人工截图作为硬实时/完整回归证据。依据T7。</w:t>
            </w:r>
          </w:p>
        </w:tc>
      </w:tr>
      <w:tr>
        <w:trPr>
          <w:cantSplit/>
        </w:trPr>
        <w:tc>
          <w:tcPr>
            <w:tcW w:type="dxa" w:w="1701"/>
            <w:vAlign w:val="center"/>
            <w:shd w:fill="F4F6F8"/>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before="0" w:after="40" w:line="269" w:lineRule="auto"/>
            </w:pPr>
            <w:r>
              <w:rPr>
                <w:rFonts w:ascii="Microsoft YaHei" w:hAnsi="Microsoft YaHei"/>
                <w:b w:val="0"/>
                <w:color w:val="000000"/>
                <w:sz w:val="19"/>
              </w:rPr>
              <w:t>canplayer</w:t>
            </w:r>
          </w:p>
        </w:tc>
        <w:tc>
          <w:tcPr>
            <w:tcW w:type="dxa" w:w="3572"/>
            <w:vAlign w:val="center"/>
            <w:shd w:fill="F4F6F8"/>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before="0" w:after="40" w:line="269" w:lineRule="auto"/>
            </w:pPr>
            <w:r>
              <w:rPr>
                <w:rFonts w:ascii="Microsoft YaHei" w:hAnsi="Microsoft YaHei"/>
                <w:b w:val="0"/>
                <w:color w:val="000000"/>
                <w:sz w:val="19"/>
              </w:rPr>
              <w:t>保留真实CAN日志回放；条件满足时可承担正常历史输入</w:t>
            </w:r>
          </w:p>
        </w:tc>
        <w:tc>
          <w:tcPr>
            <w:tcW w:type="dxa" w:w="4365"/>
            <w:vAlign w:val="center"/>
            <w:shd w:fill="F4F6F8"/>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before="0" w:after="40" w:line="269" w:lineRule="auto"/>
            </w:pPr>
            <w:r>
              <w:rPr>
                <w:rFonts w:ascii="Microsoft YaHei" w:hAnsi="Microsoft YaHei"/>
                <w:b w:val="0"/>
                <w:color w:val="000000"/>
                <w:sz w:val="19"/>
              </w:rPr>
              <w:t>不接收YAML场景；验证日志格式、通道映射、FD与相对时序。新计数/CRC或反馈驱动动态变化需要预处理或事件重建。依据T6。</w:t>
            </w:r>
          </w:p>
        </w:tc>
      </w:tr>
      <w:tr>
        <w:trPr>
          <w:cantSplit/>
        </w:trPr>
        <w:tc>
          <w:tcPr>
            <w:tcW w:type="dxa" w:w="1701"/>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before="0" w:after="40" w:line="269" w:lineRule="auto"/>
            </w:pPr>
            <w:r>
              <w:rPr>
                <w:rFonts w:ascii="Microsoft YaHei" w:hAnsi="Microsoft YaHei"/>
                <w:b w:val="0"/>
                <w:color w:val="000000"/>
                <w:sz w:val="19"/>
              </w:rPr>
              <w:t>Ostinato</w:t>
            </w:r>
          </w:p>
        </w:tc>
        <w:tc>
          <w:tcPr>
            <w:tcW w:type="dxa" w:w="3572"/>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before="0" w:after="40" w:line="269" w:lineRule="auto"/>
            </w:pPr>
            <w:r>
              <w:rPr>
                <w:rFonts w:ascii="Microsoft YaHei" w:hAnsi="Microsoft YaHei"/>
                <w:b w:val="0"/>
                <w:color w:val="000000"/>
                <w:sz w:val="19"/>
              </w:rPr>
              <w:t>保留网络流量构造，正常静态/批准动态流量与异常测试均可评估</w:t>
            </w:r>
          </w:p>
        </w:tc>
        <w:tc>
          <w:tcPr>
            <w:tcW w:type="dxa" w:w="4365"/>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before="0" w:after="40" w:line="269" w:lineRule="auto"/>
            </w:pPr>
            <w:r>
              <w:rPr>
                <w:rFonts w:ascii="Microsoft YaHei" w:hAnsi="Microsoft YaHei"/>
                <w:b w:val="0"/>
                <w:color w:val="000000"/>
                <w:sz w:val="19"/>
              </w:rPr>
              <w:t>验证实际构包、接口、自动调用和变化字段；不能因能生成TCP包便认定会话完整。业务交互可由外围模块组合验证，缺口明确后再选客户端。依据T8。</w:t>
            </w:r>
          </w:p>
        </w:tc>
      </w:tr>
      <w:tr>
        <w:trPr>
          <w:cantSplit/>
        </w:trPr>
        <w:tc>
          <w:tcPr>
            <w:tcW w:type="dxa" w:w="1701"/>
            <w:vAlign w:val="center"/>
            <w:shd w:fill="F4F6F8"/>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before="0" w:after="40" w:line="269" w:lineRule="auto"/>
            </w:pPr>
            <w:r>
              <w:rPr>
                <w:rFonts w:ascii="Microsoft YaHei" w:hAnsi="Microsoft YaHei"/>
                <w:b w:val="0"/>
                <w:color w:val="000000"/>
                <w:sz w:val="19"/>
              </w:rPr>
              <w:t>Scapy</w:t>
            </w:r>
          </w:p>
        </w:tc>
        <w:tc>
          <w:tcPr>
            <w:tcW w:type="dxa" w:w="3572"/>
            <w:vAlign w:val="center"/>
            <w:shd w:fill="F4F6F8"/>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before="0" w:after="40" w:line="269" w:lineRule="auto"/>
            </w:pPr>
            <w:r>
              <w:rPr>
                <w:rFonts w:ascii="Microsoft YaHei" w:hAnsi="Microsoft YaHei"/>
                <w:b w:val="0"/>
                <w:color w:val="000000"/>
                <w:sz w:val="19"/>
              </w:rPr>
              <w:t>保留自定义报文构造、解析、收发与场景脚本扩展</w:t>
            </w:r>
          </w:p>
        </w:tc>
        <w:tc>
          <w:tcPr>
            <w:tcW w:type="dxa" w:w="4365"/>
            <w:vAlign w:val="center"/>
            <w:shd w:fill="F4F6F8"/>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before="0" w:after="40" w:line="269" w:lineRule="auto"/>
            </w:pPr>
            <w:r>
              <w:rPr>
                <w:rFonts w:ascii="Microsoft YaHei" w:hAnsi="Microsoft YaHei"/>
                <w:b w:val="0"/>
                <w:color w:val="000000"/>
                <w:sz w:val="19"/>
              </w:rPr>
              <w:t>正式编码与反馈关联由应用代码验证；默认TCP构包不等于完整TCP状态机。若需真实会话，组合已验证的会话实现；测调度、权限及车载链路。依据T9。</w:t>
            </w:r>
          </w:p>
        </w:tc>
      </w:tr>
      <w:tr>
        <w:trPr>
          <w:cantSplit/>
        </w:trPr>
        <w:tc>
          <w:tcPr>
            <w:tcW w:type="dxa" w:w="1701"/>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before="0" w:after="40" w:line="269" w:lineRule="auto"/>
            </w:pPr>
            <w:r>
              <w:rPr>
                <w:rFonts w:ascii="Microsoft YaHei" w:hAnsi="Microsoft YaHei"/>
                <w:b w:val="0"/>
                <w:color w:val="000000"/>
                <w:sz w:val="19"/>
              </w:rPr>
              <w:t>tcpreplay</w:t>
            </w:r>
          </w:p>
        </w:tc>
        <w:tc>
          <w:tcPr>
            <w:tcW w:type="dxa" w:w="3572"/>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before="0" w:after="40" w:line="269" w:lineRule="auto"/>
            </w:pPr>
            <w:r>
              <w:rPr>
                <w:rFonts w:ascii="Microsoft YaHei" w:hAnsi="Microsoft YaHei"/>
                <w:b w:val="0"/>
                <w:color w:val="000000"/>
                <w:sz w:val="19"/>
              </w:rPr>
              <w:t>保留批准以太网PCAP回放、流量真实性及负载测试</w:t>
            </w:r>
          </w:p>
        </w:tc>
        <w:tc>
          <w:tcPr>
            <w:tcW w:type="dxa" w:w="4365"/>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before="0" w:after="40" w:line="269" w:lineRule="auto"/>
            </w:pPr>
            <w:r>
              <w:rPr>
                <w:rFonts w:ascii="Microsoft YaHei" w:hAnsi="Microsoft YaHei"/>
                <w:b w:val="0"/>
                <w:color w:val="000000"/>
                <w:sz w:val="19"/>
              </w:rPr>
              <w:t>检查捕获类型、方向、地址和新鲜度；普通回放不自动跟随真实TCP会话。状态化TCP业务须选可交互实现，不能直接计为该链路通过。依据T4。</w:t>
            </w:r>
          </w:p>
        </w:tc>
      </w:tr>
      <w:tr>
        <w:trPr>
          <w:cantSplit/>
        </w:trPr>
        <w:tc>
          <w:tcPr>
            <w:tcW w:type="dxa" w:w="1701"/>
            <w:vAlign w:val="center"/>
            <w:shd w:fill="F4F6F8"/>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before="0" w:after="40" w:line="269" w:lineRule="auto"/>
            </w:pPr>
            <w:r>
              <w:rPr>
                <w:rFonts w:ascii="Microsoft YaHei" w:hAnsi="Microsoft YaHei"/>
                <w:b w:val="0"/>
                <w:color w:val="000000"/>
                <w:sz w:val="19"/>
              </w:rPr>
              <w:t>Robot Framework</w:t>
            </w:r>
          </w:p>
        </w:tc>
        <w:tc>
          <w:tcPr>
            <w:tcW w:type="dxa" w:w="3572"/>
            <w:vAlign w:val="center"/>
            <w:shd w:fill="F4F6F8"/>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before="0" w:after="40" w:line="269" w:lineRule="auto"/>
            </w:pPr>
            <w:r>
              <w:rPr>
                <w:rFonts w:ascii="Microsoft YaHei" w:hAnsi="Microsoft YaHei"/>
                <w:b w:val="0"/>
                <w:color w:val="000000"/>
                <w:sz w:val="19"/>
              </w:rPr>
              <w:t>保留自动化编排、原工具调用、标准管理API及断言报告</w:t>
            </w:r>
          </w:p>
        </w:tc>
        <w:tc>
          <w:tcPr>
            <w:tcW w:type="dxa" w:w="4365"/>
            <w:vAlign w:val="center"/>
            <w:shd w:fill="F4F6F8"/>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before="0" w:after="40" w:line="269" w:lineRule="auto"/>
            </w:pPr>
            <w:r>
              <w:rPr>
                <w:rFonts w:ascii="Microsoft YaHei" w:hAnsi="Microsoft YaHei"/>
                <w:b w:val="0"/>
                <w:color w:val="000000"/>
                <w:sz w:val="19"/>
              </w:rPr>
              <w:t>补充关键词/工具封装、运行关联、失败清理与证据采集；不旁路写模型，也不作为硬实时发送器。依据T10。</w:t>
            </w:r>
          </w:p>
        </w:tc>
      </w:tr>
    </w:tbl>
    <w:p>
      <w:pPr>
        <w:widowControl/>
      </w:pPr>
    </w:p>
    <w:p>
      <w:pPr>
        <w:widowControl/>
      </w:pPr>
      <w:r>
        <w:t>Ostinato、Scapy能够继续承担哪些正常业务，应以逐消息能力矩阵判断，不按工具名称一刀切。无状态且字段/时序已验证的消息可直接用原工具；需要交互时可由原工具加外围编排完成，只要整体符合ICD。只有实际组合仍无法满足连接、认证、服务发现或时序要求时，才引入专用客户端或协议栈。SOME/IP等能力按选定接口确认，不能因标书3.4提到相关分析插件，就认定所有3.3↔3.6消息必须启用该协议。</w:t>
      </w:r>
    </w:p>
    <w:p>
      <w:pPr>
        <w:widowControl/>
      </w:pPr>
      <w:r>
        <w:t>依赖、许可证、目标系统和板卡支持范围须随锁定版本交付。原工具保留不等于锁定任意最新版本，也不授权覆盖目标HIL现有解释器。厂家未交付可用驱动时记录为链路阻塞；不以新增通用转换器掩盖未知设备兼容性。</w:t>
      </w:r>
    </w:p>
    <w:tbl>
      <w:tblPr>
        <w:tblW w:type="auto" w:w="0"/>
        <w:jc w:val="center"/>
        <w:tblLayout w:type="fixed"/>
        <w:tblLook w:firstColumn="1" w:firstRow="1" w:lastColumn="0" w:lastRow="0" w:noHBand="0" w:noVBand="1" w:val="04A0"/>
      </w:tblPr>
      <w:tblGrid>
        <w:gridCol w:w="1701"/>
        <w:gridCol w:w="3969"/>
        <w:gridCol w:w="3969"/>
      </w:tblGrid>
      <w:tr>
        <w:trPr>
          <w:cantSplit/>
          <w:tblHeader/>
        </w:trPr>
        <w:tc>
          <w:tcPr>
            <w:tcW w:type="dxa" w:w="1701"/>
            <w:vAlign w:val="center"/>
            <w:shd w:fill="DCE9F4"/>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spacing w:before="0" w:after="40" w:line="269" w:lineRule="auto"/>
            </w:pPr>
            <w:r>
              <w:rPr>
                <w:rFonts w:ascii="Microsoft YaHei" w:hAnsi="Microsoft YaHei"/>
                <w:b/>
                <w:color w:val="000000"/>
                <w:sz w:val="19"/>
              </w:rPr>
              <w:t>原分支</w:t>
            </w:r>
          </w:p>
        </w:tc>
        <w:tc>
          <w:tcPr>
            <w:tcW w:type="dxa" w:w="3969"/>
            <w:vAlign w:val="center"/>
            <w:shd w:fill="DCE9F4"/>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spacing w:before="0" w:after="40" w:line="269" w:lineRule="auto"/>
            </w:pPr>
            <w:r>
              <w:rPr>
                <w:rFonts w:ascii="Microsoft YaHei" w:hAnsi="Microsoft YaHei"/>
                <w:b/>
                <w:color w:val="000000"/>
                <w:sz w:val="19"/>
              </w:rPr>
              <w:t>保留后的路径</w:t>
            </w:r>
          </w:p>
        </w:tc>
        <w:tc>
          <w:tcPr>
            <w:tcW w:type="dxa" w:w="3969"/>
            <w:vAlign w:val="center"/>
            <w:shd w:fill="DCE9F4"/>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spacing w:before="0" w:after="40" w:line="269" w:lineRule="auto"/>
            </w:pPr>
            <w:r>
              <w:rPr>
                <w:rFonts w:ascii="Microsoft YaHei" w:hAnsi="Microsoft YaHei"/>
                <w:b/>
                <w:color w:val="000000"/>
                <w:sz w:val="19"/>
              </w:rPr>
              <w:t>复用验证与停止条件</w:t>
            </w:r>
          </w:p>
        </w:tc>
      </w:tr>
      <w:tr>
        <w:trPr>
          <w:cantSplit/>
        </w:trPr>
        <w:tc>
          <w:tcPr>
            <w:tcW w:type="dxa" w:w="1701"/>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before="0" w:after="40" w:line="269" w:lineRule="auto"/>
            </w:pPr>
            <w:r>
              <w:rPr>
                <w:rFonts w:ascii="Microsoft YaHei" w:hAnsi="Microsoft YaHei"/>
                <w:b w:val="0"/>
                <w:color w:val="000000"/>
                <w:sz w:val="19"/>
              </w:rPr>
              <w:t>信号生成链</w:t>
            </w:r>
          </w:p>
        </w:tc>
        <w:tc>
          <w:tcPr>
            <w:tcW w:type="dxa" w:w="3969"/>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before="0" w:after="40" w:line="269" w:lineRule="auto"/>
            </w:pPr>
            <w:r>
              <w:rPr>
                <w:rFonts w:ascii="Microsoft YaHei" w:hAnsi="Microsoft YaHei"/>
                <w:b w:val="0"/>
                <w:color w:val="000000"/>
                <w:sz w:val="19"/>
              </w:rPr>
              <w:t>协议定义＋场景值 → cantools → python-can → vcan/已验证can → 3.6</w:t>
            </w:r>
          </w:p>
        </w:tc>
        <w:tc>
          <w:tcPr>
            <w:tcW w:type="dxa" w:w="3969"/>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before="0" w:after="40" w:line="269" w:lineRule="auto"/>
            </w:pPr>
            <w:r>
              <w:rPr>
                <w:rFonts w:ascii="Microsoft YaHei" w:hAnsi="Microsoft YaHei"/>
                <w:b w:val="0"/>
                <w:color w:val="000000"/>
                <w:sz w:val="19"/>
              </w:rPr>
              <w:t>黄金向量、单位/范围、FD、E1/E2及规定响应；格式或设备能力不支持则停止</w:t>
            </w:r>
          </w:p>
        </w:tc>
      </w:tr>
      <w:tr>
        <w:trPr>
          <w:cantSplit/>
        </w:trPr>
        <w:tc>
          <w:tcPr>
            <w:tcW w:type="dxa" w:w="1701"/>
            <w:vAlign w:val="center"/>
            <w:shd w:fill="F4F6F8"/>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before="0" w:after="40" w:line="269" w:lineRule="auto"/>
            </w:pPr>
            <w:r>
              <w:rPr>
                <w:rFonts w:ascii="Microsoft YaHei" w:hAnsi="Microsoft YaHei"/>
                <w:b w:val="0"/>
                <w:color w:val="000000"/>
                <w:sz w:val="19"/>
              </w:rPr>
              <w:t>CAN工具链</w:t>
            </w:r>
          </w:p>
        </w:tc>
        <w:tc>
          <w:tcPr>
            <w:tcW w:type="dxa" w:w="3969"/>
            <w:vAlign w:val="center"/>
            <w:shd w:fill="F4F6F8"/>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before="0" w:after="40" w:line="269" w:lineRule="auto"/>
            </w:pPr>
            <w:r>
              <w:rPr>
                <w:rFonts w:ascii="Microsoft YaHei" w:hAnsi="Microsoft YaHei"/>
                <w:b w:val="0"/>
                <w:color w:val="000000"/>
                <w:sz w:val="19"/>
              </w:rPr>
              <w:t>批准帧/用例 → can-utils ↔ SocketCAN → 同一3.6入口</w:t>
            </w:r>
          </w:p>
        </w:tc>
        <w:tc>
          <w:tcPr>
            <w:tcW w:type="dxa" w:w="3969"/>
            <w:vAlign w:val="center"/>
            <w:shd w:fill="F4F6F8"/>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before="0" w:after="40" w:line="269" w:lineRule="auto"/>
            </w:pPr>
            <w:r>
              <w:rPr>
                <w:rFonts w:ascii="Microsoft YaHei" w:hAnsi="Microsoft YaHei"/>
                <w:b w:val="0"/>
                <w:color w:val="000000"/>
                <w:sz w:val="19"/>
              </w:rPr>
              <w:t>授权、原码、周期及接收证据；未授权或与业务源竞争则禁止发送</w:t>
            </w:r>
          </w:p>
        </w:tc>
      </w:tr>
      <w:tr>
        <w:trPr>
          <w:cantSplit/>
        </w:trPr>
        <w:tc>
          <w:tcPr>
            <w:tcW w:type="dxa" w:w="1701"/>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before="0" w:after="40" w:line="269" w:lineRule="auto"/>
            </w:pPr>
            <w:r>
              <w:rPr>
                <w:rFonts w:ascii="Microsoft YaHei" w:hAnsi="Microsoft YaHei"/>
                <w:b w:val="0"/>
                <w:color w:val="000000"/>
                <w:sz w:val="19"/>
              </w:rPr>
              <w:t>GUI观察链</w:t>
            </w:r>
          </w:p>
        </w:tc>
        <w:tc>
          <w:tcPr>
            <w:tcW w:type="dxa" w:w="3969"/>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before="0" w:after="40" w:line="269" w:lineRule="auto"/>
            </w:pPr>
            <w:r>
              <w:rPr>
                <w:rFonts w:ascii="Microsoft YaHei" w:hAnsi="Microsoft YaHei"/>
                <w:b w:val="0"/>
                <w:color w:val="000000"/>
                <w:sz w:val="19"/>
              </w:rPr>
              <w:t>SavvyCAN ↔ 同一已验证CAN接口 → 3.6正式通道</w:t>
            </w:r>
          </w:p>
        </w:tc>
        <w:tc>
          <w:tcPr>
            <w:tcW w:type="dxa" w:w="3969"/>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before="0" w:after="40" w:line="269" w:lineRule="auto"/>
            </w:pPr>
            <w:r>
              <w:rPr>
                <w:rFonts w:ascii="Microsoft YaHei" w:hAnsi="Microsoft YaHei"/>
                <w:b w:val="0"/>
                <w:color w:val="000000"/>
                <w:sz w:val="19"/>
              </w:rPr>
              <w:t>先验证被动观察不干扰；人工发送另授权，截图不能代替逐条证据</w:t>
            </w:r>
          </w:p>
        </w:tc>
      </w:tr>
      <w:tr>
        <w:trPr>
          <w:cantSplit/>
        </w:trPr>
        <w:tc>
          <w:tcPr>
            <w:tcW w:type="dxa" w:w="1701"/>
            <w:vAlign w:val="center"/>
            <w:shd w:fill="F4F6F8"/>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before="0" w:after="40" w:line="269" w:lineRule="auto"/>
            </w:pPr>
            <w:r>
              <w:rPr>
                <w:rFonts w:ascii="Microsoft YaHei" w:hAnsi="Microsoft YaHei"/>
                <w:b w:val="0"/>
                <w:color w:val="000000"/>
                <w:sz w:val="19"/>
              </w:rPr>
              <w:t>CAN回放链</w:t>
            </w:r>
          </w:p>
        </w:tc>
        <w:tc>
          <w:tcPr>
            <w:tcW w:type="dxa" w:w="3969"/>
            <w:vAlign w:val="center"/>
            <w:shd w:fill="F4F6F8"/>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before="0" w:after="40" w:line="269" w:lineRule="auto"/>
            </w:pPr>
            <w:r>
              <w:rPr>
                <w:rFonts w:ascii="Microsoft YaHei" w:hAnsi="Microsoft YaHei"/>
                <w:b w:val="0"/>
                <w:color w:val="000000"/>
                <w:sz w:val="19"/>
              </w:rPr>
              <w:t>CAN日志 → 检查/必要预处理 → canplayer → SocketCAN → 3.6</w:t>
            </w:r>
          </w:p>
        </w:tc>
        <w:tc>
          <w:tcPr>
            <w:tcW w:type="dxa" w:w="3969"/>
            <w:vAlign w:val="center"/>
            <w:shd w:fill="F4F6F8"/>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before="0" w:after="40" w:line="269" w:lineRule="auto"/>
            </w:pPr>
            <w:r>
              <w:rPr>
                <w:rFonts w:ascii="Microsoft YaHei" w:hAnsi="Microsoft YaHei"/>
                <w:b w:val="0"/>
                <w:color w:val="000000"/>
                <w:sz w:val="19"/>
              </w:rPr>
              <w:t>方向、格式、通道和相对时序；须动态交互而无实现时不作为该用例输入</w:t>
            </w:r>
          </w:p>
        </w:tc>
      </w:tr>
      <w:tr>
        <w:trPr>
          <w:cantSplit/>
        </w:trPr>
        <w:tc>
          <w:tcPr>
            <w:tcW w:type="dxa" w:w="1701"/>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before="0" w:after="40" w:line="269" w:lineRule="auto"/>
            </w:pPr>
            <w:r>
              <w:rPr>
                <w:rFonts w:ascii="Microsoft YaHei" w:hAnsi="Microsoft YaHei"/>
                <w:b w:val="0"/>
                <w:color w:val="000000"/>
                <w:sz w:val="19"/>
              </w:rPr>
              <w:t>以太网模拟链</w:t>
            </w:r>
          </w:p>
        </w:tc>
        <w:tc>
          <w:tcPr>
            <w:tcW w:type="dxa" w:w="3969"/>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before="0" w:after="40" w:line="269" w:lineRule="auto"/>
            </w:pPr>
            <w:r>
              <w:rPr>
                <w:rFonts w:ascii="Microsoft YaHei" w:hAnsi="Microsoft YaHei"/>
                <w:b w:val="0"/>
                <w:color w:val="000000"/>
                <w:sz w:val="19"/>
              </w:rPr>
              <w:t>场景＋正式编码 → Ostinato或Scapy → 正式网络 → 3.6</w:t>
            </w:r>
          </w:p>
        </w:tc>
        <w:tc>
          <w:tcPr>
            <w:tcW w:type="dxa" w:w="3969"/>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before="0" w:after="40" w:line="269" w:lineRule="auto"/>
            </w:pPr>
            <w:r>
              <w:rPr>
                <w:rFonts w:ascii="Microsoft YaHei" w:hAnsi="Microsoft YaHei"/>
                <w:b w:val="0"/>
                <w:color w:val="000000"/>
                <w:sz w:val="19"/>
              </w:rPr>
              <w:t>逐消息编码、规定收发/会话、时序与应用；缺口证实后才按需补客户端</w:t>
            </w:r>
          </w:p>
        </w:tc>
      </w:tr>
      <w:tr>
        <w:trPr>
          <w:cantSplit/>
        </w:trPr>
        <w:tc>
          <w:tcPr>
            <w:tcW w:type="dxa" w:w="1701"/>
            <w:vAlign w:val="center"/>
            <w:shd w:fill="F4F6F8"/>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before="0" w:after="40" w:line="269" w:lineRule="auto"/>
            </w:pPr>
            <w:r>
              <w:rPr>
                <w:rFonts w:ascii="Microsoft YaHei" w:hAnsi="Microsoft YaHei"/>
                <w:b w:val="0"/>
                <w:color w:val="000000"/>
                <w:sz w:val="19"/>
              </w:rPr>
              <w:t>PCAP回放链</w:t>
            </w:r>
          </w:p>
        </w:tc>
        <w:tc>
          <w:tcPr>
            <w:tcW w:type="dxa" w:w="3969"/>
            <w:vAlign w:val="center"/>
            <w:shd w:fill="F4F6F8"/>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before="0" w:after="40" w:line="269" w:lineRule="auto"/>
            </w:pPr>
            <w:r>
              <w:rPr>
                <w:rFonts w:ascii="Microsoft YaHei" w:hAnsi="Microsoft YaHei"/>
                <w:b w:val="0"/>
                <w:color w:val="000000"/>
                <w:sz w:val="19"/>
              </w:rPr>
              <w:t>真实PCAP → 检查/必要预处理 → tcpreplay → 正式网络 → 3.6</w:t>
            </w:r>
          </w:p>
        </w:tc>
        <w:tc>
          <w:tcPr>
            <w:tcW w:type="dxa" w:w="3969"/>
            <w:vAlign w:val="center"/>
            <w:shd w:fill="F4F6F8"/>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before="0" w:after="40" w:line="269" w:lineRule="auto"/>
            </w:pPr>
            <w:r>
              <w:rPr>
                <w:rFonts w:ascii="Microsoft YaHei" w:hAnsi="Microsoft YaHei"/>
                <w:b w:val="0"/>
                <w:color w:val="000000"/>
                <w:sz w:val="19"/>
              </w:rPr>
              <w:t>仅回放批准3.3方向；旧会话/鉴权不合法或协议不匹配则拒绝</w:t>
            </w:r>
          </w:p>
        </w:tc>
      </w:tr>
      <w:tr>
        <w:trPr>
          <w:cantSplit/>
        </w:trPr>
        <w:tc>
          <w:tcPr>
            <w:tcW w:type="dxa" w:w="1701"/>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before="0" w:after="40" w:line="269" w:lineRule="auto"/>
            </w:pPr>
            <w:r>
              <w:rPr>
                <w:rFonts w:ascii="Microsoft YaHei" w:hAnsi="Microsoft YaHei"/>
                <w:b w:val="0"/>
                <w:color w:val="000000"/>
                <w:sz w:val="19"/>
              </w:rPr>
              <w:t>自动化与反馈</w:t>
            </w:r>
          </w:p>
        </w:tc>
        <w:tc>
          <w:tcPr>
            <w:tcW w:type="dxa" w:w="3969"/>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before="0" w:after="40" w:line="269" w:lineRule="auto"/>
            </w:pPr>
            <w:r>
              <w:rPr>
                <w:rFonts w:ascii="Microsoft YaHei" w:hAnsi="Microsoft YaHei"/>
                <w:b w:val="0"/>
                <w:color w:val="000000"/>
                <w:sz w:val="19"/>
              </w:rPr>
              <w:t>Robot → 原工具/标准管理API；正式反馈 → 采集/断言 → Robot</w:t>
            </w:r>
          </w:p>
        </w:tc>
        <w:tc>
          <w:tcPr>
            <w:tcW w:type="dxa" w:w="3969"/>
            <w:vAlign w:val="center"/>
            <w:shd w:fill="FFFFFF"/>
            <w:tcBorders>
              <w:top w:val="single" w:sz="4" w:color="D9D9D9"/>
              <w:left w:val="single" w:sz="4" w:color="D9D9D9"/>
              <w:bottom w:val="single" w:sz="4" w:color="D9D9D9"/>
              <w:right w:val="single" w:sz="4" w:color="D9D9D9"/>
            </w:tcBorders>
            <w:tcMar>
              <w:top w:w="80" w:type="dxa"/>
              <w:bottom w:w="80" w:type="dxa"/>
              <w:left w:w="95" w:type="dxa"/>
              <w:right w:w="95" w:type="dxa"/>
            </w:tcMar>
          </w:tcPr>
          <w:p>
            <w:pPr>
              <w:keepNext w:val="0"/>
              <w:spacing w:before="0" w:after="40" w:line="269" w:lineRule="auto"/>
            </w:pPr>
            <w:r>
              <w:rPr>
                <w:rFonts w:ascii="Microsoft YaHei" w:hAnsi="Microsoft YaHei"/>
                <w:b w:val="0"/>
                <w:color w:val="000000"/>
                <w:sz w:val="19"/>
              </w:rPr>
              <w:t>同run证据、失败清理、源互斥；控制不经模拟专用入口</w:t>
            </w:r>
          </w:p>
        </w:tc>
      </w:tr>
    </w:tbl>
    <w:p>
      <w:pPr>
        <w:widowControl/>
      </w:pPr>
    </w:p>
    <w:p>
      <w:pPr>
        <w:widowControl/>
      </w:pPr>
      <w:r>
        <w:t>每个原工具分支按五步判定：确定实际消息与传输；验证锁定版本和设备接口；执行黄金向量及正常/异常用例；补齐已证明缺失的外围能力；形成保留、限用途或替换建议。全部必选消息须有可用分支覆盖，但不要求每条辅助分支参加每次验收。方案修订不修改仓库程序；当前各分支仍须按设计、软件验证、正式链路验证和真实3.3替换四级提交证据。</w:t>
      </w:r>
    </w:p>
    <w:p>
      <w:pPr>
        <w:pStyle w:val="3"/>
        <w:keepNext/>
        <w:rPr>
          <w:rFonts w:hint="eastAsia" w:ascii="微软雅黑" w:hAnsi="微软雅黑" w:eastAsia="微软雅黑" w:cs="微软雅黑"/>
        </w:rPr>
      </w:pPr>
      <w:r>
        <w:rPr>
          <w:rFonts w:hint="eastAsia" w:ascii="微软雅黑" w:hAnsi="微软雅黑" w:eastAsia="微软雅黑" w:cs="微软雅黑"/>
          <w:color w:val="000000"/>
        </w:rPr>
        <w:t>10. 真实 3.3 接入与替换策略</w:t>
      </w:r>
    </w:p>
    <w:p>
      <w:pPr>
        <w:widowControl/>
        <w:rPr>
          <w:rFonts w:hint="eastAsia" w:ascii="微软雅黑" w:hAnsi="微软雅黑" w:eastAsia="微软雅黑" w:cs="微软雅黑"/>
        </w:rPr>
      </w:pPr>
      <w:r>
        <w:t>真实3.3与模拟器遵循同一共同签署的正式ICD、DBC/schema、传输配置和覆盖清单。阶段D冻结3.6发布包后，替换仅允许第10.2节列出的部署与授权配置变更。3.6标准接入服务、编解码、模型映射、反馈、安全策略和业务代码保持不变；不得通过新增适配器消化真实3.3的协议偏差。</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64"/>
        <w:gridCol w:w="2464"/>
        <w:gridCol w:w="2464"/>
        <w:gridCol w:w="246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blHeader/>
          <w:cantSplit/>
        </w:trPr>
        <w:tc>
          <w:tcPr>
            <w:tcW w:w="2464" w:type="dxa"/>
            <w:shd w:val="clear" w:color="auto" w:fill="2F5597"/>
            <w:vAlign w:val="center"/>
          </w:tcPr>
          <w:p>
            <w:pPr>
              <w:keepNext/>
              <w:jc w:val="center"/>
              <w:rPr>
                <w:rFonts w:hint="eastAsia" w:ascii="微软雅黑" w:hAnsi="微软雅黑" w:eastAsia="微软雅黑" w:cs="微软雅黑"/>
              </w:rPr>
            </w:pPr>
            <w:r>
              <w:rPr>
                <w:rFonts w:hint="eastAsia" w:ascii="微软雅黑" w:hAnsi="微软雅黑" w:eastAsia="微软雅黑" w:cs="微软雅黑"/>
                <w:b/>
                <w:color w:val="FFFFFF"/>
                <w:sz w:val="18"/>
              </w:rPr>
              <w:t>检查项</w:t>
            </w:r>
          </w:p>
        </w:tc>
        <w:tc>
          <w:tcPr>
            <w:tcW w:w="2464" w:type="dxa"/>
            <w:shd w:val="clear" w:color="auto" w:fill="2F5597"/>
            <w:vAlign w:val="center"/>
          </w:tcPr>
          <w:p>
            <w:pPr>
              <w:keepNext/>
              <w:jc w:val="center"/>
              <w:rPr>
                <w:rFonts w:hint="eastAsia" w:ascii="微软雅黑" w:hAnsi="微软雅黑" w:eastAsia="微软雅黑" w:cs="微软雅黑"/>
              </w:rPr>
            </w:pPr>
            <w:r>
              <w:rPr>
                <w:rFonts w:hint="eastAsia" w:ascii="微软雅黑" w:hAnsi="微软雅黑" w:eastAsia="微软雅黑" w:cs="微软雅黑"/>
                <w:b/>
                <w:color w:val="FFFFFF"/>
                <w:sz w:val="18"/>
              </w:rPr>
              <w:t>模拟器阶段</w:t>
            </w:r>
          </w:p>
        </w:tc>
        <w:tc>
          <w:tcPr>
            <w:tcW w:w="2464" w:type="dxa"/>
            <w:shd w:val="clear" w:color="auto" w:fill="2F5597"/>
            <w:vAlign w:val="center"/>
          </w:tcPr>
          <w:p>
            <w:pPr>
              <w:keepNext/>
              <w:jc w:val="center"/>
              <w:rPr>
                <w:rFonts w:hint="eastAsia" w:ascii="微软雅黑" w:hAnsi="微软雅黑" w:eastAsia="微软雅黑" w:cs="微软雅黑"/>
              </w:rPr>
            </w:pPr>
            <w:r>
              <w:rPr>
                <w:rFonts w:hint="eastAsia" w:ascii="微软雅黑" w:hAnsi="微软雅黑" w:eastAsia="微软雅黑" w:cs="微软雅黑"/>
                <w:b/>
                <w:color w:val="FFFFFF"/>
                <w:sz w:val="18"/>
              </w:rPr>
              <w:t>真实3.3接入后</w:t>
            </w:r>
          </w:p>
        </w:tc>
        <w:tc>
          <w:tcPr>
            <w:tcW w:w="2464" w:type="dxa"/>
            <w:shd w:val="clear" w:color="auto" w:fill="2F5597"/>
            <w:vAlign w:val="center"/>
          </w:tcPr>
          <w:p>
            <w:pPr>
              <w:keepNext/>
              <w:jc w:val="center"/>
              <w:rPr>
                <w:rFonts w:hint="eastAsia" w:ascii="微软雅黑" w:hAnsi="微软雅黑" w:eastAsia="微软雅黑" w:cs="微软雅黑"/>
              </w:rPr>
            </w:pPr>
            <w:r>
              <w:rPr>
                <w:rFonts w:hint="eastAsia" w:ascii="微软雅黑" w:hAnsi="微软雅黑" w:eastAsia="微软雅黑" w:cs="微软雅黑"/>
                <w:b/>
                <w:color w:val="FFFFFF"/>
                <w:sz w:val="18"/>
              </w:rPr>
              <w:t>要求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2464" w:type="dxa"/>
            <w:shd w:val="clear" w:color="auto" w:fill="FFFFFF"/>
            <w:vAlign w:val="center"/>
          </w:tcPr>
          <w:p>
            <w:pPr>
              <w:spacing w:before="0" w:after="40" w:line="269" w:lineRule="auto"/>
            </w:pPr>
            <w:r>
              <w:rPr>
                <w:color w:val="000000"/>
                <w:sz w:val="19"/>
              </w:rPr>
              <w:t>正式ICD/传输</w:t>
            </w:r>
          </w:p>
        </w:tc>
        <w:tc>
          <w:tcPr>
            <w:tcW w:w="2464" w:type="dxa"/>
            <w:shd w:val="clear" w:color="auto" w:fill="FFFFFF"/>
            <w:vAlign w:val="center"/>
          </w:tcPr>
          <w:p>
            <w:pPr>
              <w:spacing w:before="0" w:after="40" w:line="269" w:lineRule="auto"/>
            </w:pPr>
            <w:r>
              <w:rPr>
                <w:color w:val="000000"/>
                <w:sz w:val="19"/>
              </w:rPr>
              <w:t>共同签署版本、正式传输配置</w:t>
            </w:r>
          </w:p>
        </w:tc>
        <w:tc>
          <w:tcPr>
            <w:tcW w:w="2464" w:type="dxa"/>
            <w:shd w:val="clear" w:color="auto" w:fill="FFFFFF"/>
            <w:vAlign w:val="center"/>
          </w:tcPr>
          <w:p>
            <w:pPr>
              <w:spacing w:before="0" w:after="40" w:line="269" w:lineRule="auto"/>
            </w:pPr>
            <w:r>
              <w:rPr>
                <w:color w:val="000000"/>
                <w:sz w:val="19"/>
              </w:rPr>
              <w:t>同一版本、同一消息传输配置</w:t>
            </w:r>
          </w:p>
        </w:tc>
        <w:tc>
          <w:tcPr>
            <w:tcW w:w="2464" w:type="dxa"/>
            <w:shd w:val="clear" w:color="auto" w:fill="FFFFFF"/>
            <w:vAlign w:val="center"/>
          </w:tcPr>
          <w:p>
            <w:pPr>
              <w:spacing w:before="0" w:after="40" w:line="269" w:lineRule="auto"/>
            </w:pPr>
            <w:r>
              <w:rPr>
                <w:color w:val="000000"/>
                <w:sz w:val="19"/>
              </w:rPr>
              <w:t>禁止私有协议或替换时协议转换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2464" w:type="dxa"/>
            <w:shd w:val="clear" w:color="auto" w:fill="F7F9FC"/>
            <w:vAlign w:val="center"/>
          </w:tcPr>
          <w:p>
            <w:pPr>
              <w:spacing w:before="0" w:after="40" w:line="269" w:lineRule="auto"/>
            </w:pPr>
            <w:r>
              <w:rPr>
                <w:color w:val="000000"/>
                <w:sz w:val="19"/>
              </w:rPr>
              <w:t>字段与编码</w:t>
            </w:r>
          </w:p>
        </w:tc>
        <w:tc>
          <w:tcPr>
            <w:tcW w:w="2464" w:type="dxa"/>
            <w:shd w:val="clear" w:color="auto" w:fill="F7F9FC"/>
            <w:vAlign w:val="center"/>
          </w:tcPr>
          <w:p>
            <w:pPr>
              <w:spacing w:before="0" w:after="40" w:line="269" w:lineRule="auto"/>
            </w:pPr>
            <w:r>
              <w:rPr>
                <w:color w:val="000000"/>
                <w:sz w:val="19"/>
              </w:rPr>
              <w:t>冻结DBC/schema、校验及语义</w:t>
            </w:r>
          </w:p>
        </w:tc>
        <w:tc>
          <w:tcPr>
            <w:tcW w:w="2464" w:type="dxa"/>
            <w:shd w:val="clear" w:color="auto" w:fill="F7F9FC"/>
            <w:vAlign w:val="center"/>
          </w:tcPr>
          <w:p>
            <w:pPr>
              <w:spacing w:before="0" w:after="40" w:line="269" w:lineRule="auto"/>
            </w:pPr>
            <w:r>
              <w:rPr>
                <w:color w:val="000000"/>
                <w:sz w:val="19"/>
              </w:rPr>
              <w:t>同一编码与字段行为规则</w:t>
            </w:r>
          </w:p>
        </w:tc>
        <w:tc>
          <w:tcPr>
            <w:tcW w:w="2464" w:type="dxa"/>
            <w:shd w:val="clear" w:color="auto" w:fill="F7F9FC"/>
            <w:vAlign w:val="center"/>
          </w:tcPr>
          <w:p>
            <w:pPr>
              <w:spacing w:before="0" w:after="40" w:line="269" w:lineRule="auto"/>
            </w:pPr>
            <w:r>
              <w:rPr>
                <w:color w:val="000000"/>
                <w:sz w:val="19"/>
              </w:rPr>
              <w:t>同一解析器及模型映射；不得修改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2464" w:type="dxa"/>
            <w:shd w:val="clear" w:color="auto" w:fill="FFFFFF"/>
            <w:vAlign w:val="center"/>
          </w:tcPr>
          <w:p>
            <w:pPr>
              <w:spacing w:before="0" w:after="40" w:line="269" w:lineRule="auto"/>
            </w:pPr>
            <w:r>
              <w:rPr>
                <w:color w:val="000000"/>
                <w:sz w:val="19"/>
              </w:rPr>
              <w:t>周期与时序</w:t>
            </w:r>
          </w:p>
        </w:tc>
        <w:tc>
          <w:tcPr>
            <w:tcW w:w="2464" w:type="dxa"/>
            <w:shd w:val="clear" w:color="auto" w:fill="FFFFFF"/>
            <w:vAlign w:val="center"/>
          </w:tcPr>
          <w:p>
            <w:pPr>
              <w:spacing w:before="0" w:after="40" w:line="269" w:lineRule="auto"/>
            </w:pPr>
            <w:r>
              <w:rPr>
                <w:color w:val="000000"/>
                <w:sz w:val="19"/>
              </w:rPr>
              <w:t>冻结周期、抖动、超时与同步阈值</w:t>
            </w:r>
          </w:p>
        </w:tc>
        <w:tc>
          <w:tcPr>
            <w:tcW w:w="2464" w:type="dxa"/>
            <w:shd w:val="clear" w:color="auto" w:fill="FFFFFF"/>
            <w:vAlign w:val="center"/>
          </w:tcPr>
          <w:p>
            <w:pPr>
              <w:spacing w:before="0" w:after="40" w:line="269" w:lineRule="auto"/>
            </w:pPr>
            <w:r>
              <w:rPr>
                <w:color w:val="000000"/>
                <w:sz w:val="19"/>
              </w:rPr>
              <w:t>满足同一预定阈值</w:t>
            </w:r>
          </w:p>
        </w:tc>
        <w:tc>
          <w:tcPr>
            <w:tcW w:w="2464" w:type="dxa"/>
            <w:shd w:val="clear" w:color="auto" w:fill="FFFFFF"/>
            <w:vAlign w:val="center"/>
          </w:tcPr>
          <w:p>
            <w:pPr>
              <w:spacing w:before="0" w:after="40" w:line="269" w:lineRule="auto"/>
            </w:pPr>
            <w:r>
              <w:rPr>
                <w:color w:val="000000"/>
                <w:sz w:val="19"/>
              </w:rPr>
              <w:t>禁止事后放宽阈值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2464" w:type="dxa"/>
            <w:shd w:val="clear" w:color="auto" w:fill="F7F9FC"/>
            <w:vAlign w:val="center"/>
          </w:tcPr>
          <w:p>
            <w:pPr>
              <w:spacing w:before="0" w:after="40" w:line="269" w:lineRule="auto"/>
            </w:pPr>
            <w:r>
              <w:rPr>
                <w:color w:val="000000"/>
                <w:sz w:val="19"/>
              </w:rPr>
              <w:t>反馈与异常语义</w:t>
            </w:r>
          </w:p>
        </w:tc>
        <w:tc>
          <w:tcPr>
            <w:tcW w:w="2464" w:type="dxa"/>
            <w:shd w:val="clear" w:color="auto" w:fill="F7F9FC"/>
            <w:vAlign w:val="center"/>
          </w:tcPr>
          <w:p>
            <w:pPr>
              <w:spacing w:before="0" w:after="40" w:line="269" w:lineRule="auto"/>
            </w:pPr>
            <w:r>
              <w:rPr>
                <w:color w:val="000000"/>
                <w:sz w:val="19"/>
              </w:rPr>
              <w:t>同版回执、握手、停止/恢复和安全策略</w:t>
            </w:r>
          </w:p>
        </w:tc>
        <w:tc>
          <w:tcPr>
            <w:tcW w:w="2464" w:type="dxa"/>
            <w:shd w:val="clear" w:color="auto" w:fill="F7F9FC"/>
            <w:vAlign w:val="center"/>
          </w:tcPr>
          <w:p>
            <w:pPr>
              <w:spacing w:before="0" w:after="40" w:line="269" w:lineRule="auto"/>
            </w:pPr>
            <w:r>
              <w:rPr>
                <w:color w:val="000000"/>
                <w:sz w:val="19"/>
              </w:rPr>
              <w:t>按同一规则执行</w:t>
            </w:r>
          </w:p>
        </w:tc>
        <w:tc>
          <w:tcPr>
            <w:tcW w:w="2464" w:type="dxa"/>
            <w:shd w:val="clear" w:color="auto" w:fill="F7F9FC"/>
            <w:vAlign w:val="center"/>
          </w:tcPr>
          <w:p>
            <w:pPr>
              <w:spacing w:before="0" w:after="40" w:line="269" w:lineRule="auto"/>
            </w:pPr>
            <w:r>
              <w:rPr>
                <w:color w:val="000000"/>
                <w:sz w:val="19"/>
              </w:rPr>
              <w:t>同套正常/异常/双向交互用例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2464" w:type="dxa"/>
            <w:shd w:val="clear" w:color="auto" w:fill="FFFFFF"/>
            <w:vAlign w:val="center"/>
          </w:tcPr>
          <w:p>
            <w:pPr>
              <w:spacing w:before="0" w:after="40" w:line="269" w:lineRule="auto"/>
            </w:pPr>
            <w:r>
              <w:rPr>
                <w:color w:val="000000"/>
                <w:sz w:val="19"/>
              </w:rPr>
              <w:t>3.6程序与业务</w:t>
            </w:r>
          </w:p>
        </w:tc>
        <w:tc>
          <w:tcPr>
            <w:tcW w:w="2464" w:type="dxa"/>
            <w:shd w:val="clear" w:color="auto" w:fill="FFFFFF"/>
            <w:vAlign w:val="center"/>
          </w:tcPr>
          <w:p>
            <w:pPr>
              <w:spacing w:before="0" w:after="40" w:line="269" w:lineRule="auto"/>
            </w:pPr>
            <w:r>
              <w:rPr>
                <w:color w:val="000000"/>
                <w:sz w:val="19"/>
              </w:rPr>
              <w:t>阶段D冻结接入/驱动/库/映射及模型包</w:t>
            </w:r>
          </w:p>
        </w:tc>
        <w:tc>
          <w:tcPr>
            <w:tcW w:w="2464" w:type="dxa"/>
            <w:shd w:val="clear" w:color="auto" w:fill="FFFFFF"/>
            <w:vAlign w:val="center"/>
          </w:tcPr>
          <w:p>
            <w:pPr>
              <w:spacing w:before="0" w:after="40" w:line="269" w:lineRule="auto"/>
            </w:pPr>
            <w:r>
              <w:rPr>
                <w:color w:val="000000"/>
                <w:sz w:val="19"/>
              </w:rPr>
              <w:t>使用同一冻结发布包</w:t>
            </w:r>
          </w:p>
        </w:tc>
        <w:tc>
          <w:tcPr>
            <w:tcW w:w="2464" w:type="dxa"/>
            <w:shd w:val="clear" w:color="auto" w:fill="FFFFFF"/>
            <w:vAlign w:val="center"/>
          </w:tcPr>
          <w:p>
            <w:pPr>
              <w:spacing w:before="0" w:after="40" w:line="269" w:lineRule="auto"/>
            </w:pPr>
            <w:r>
              <w:rPr>
                <w:color w:val="000000"/>
                <w:sz w:val="19"/>
              </w:rPr>
              <w:t>受保护文件哈希不变；无新增代码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2464" w:type="dxa"/>
            <w:shd w:val="clear" w:color="auto" w:fill="F7F9FC"/>
            <w:vAlign w:val="center"/>
          </w:tcPr>
          <w:p>
            <w:pPr>
              <w:spacing w:before="0" w:after="40" w:line="269" w:lineRule="auto"/>
            </w:pPr>
            <w:r>
              <w:rPr>
                <w:color w:val="000000"/>
                <w:sz w:val="19"/>
              </w:rPr>
              <w:t>回归测试</w:t>
            </w:r>
          </w:p>
        </w:tc>
        <w:tc>
          <w:tcPr>
            <w:tcW w:w="2464" w:type="dxa"/>
            <w:shd w:val="clear" w:color="auto" w:fill="F7F9FC"/>
            <w:vAlign w:val="center"/>
          </w:tcPr>
          <w:p>
            <w:pPr>
              <w:spacing w:before="0" w:after="40" w:line="269" w:lineRule="auto"/>
            </w:pPr>
            <w:r>
              <w:rPr>
                <w:color w:val="000000"/>
                <w:sz w:val="19"/>
              </w:rPr>
              <w:t>同版测试套件与全部必选用例</w:t>
            </w:r>
          </w:p>
        </w:tc>
        <w:tc>
          <w:tcPr>
            <w:tcW w:w="2464" w:type="dxa"/>
            <w:shd w:val="clear" w:color="auto" w:fill="F7F9FC"/>
            <w:vAlign w:val="center"/>
          </w:tcPr>
          <w:p>
            <w:pPr>
              <w:spacing w:before="0" w:after="40" w:line="269" w:lineRule="auto"/>
            </w:pPr>
            <w:r>
              <w:rPr>
                <w:color w:val="000000"/>
                <w:sz w:val="19"/>
              </w:rPr>
              <w:t>同场景执行；保留原始双向证据</w:t>
            </w:r>
          </w:p>
        </w:tc>
        <w:tc>
          <w:tcPr>
            <w:tcW w:w="2464" w:type="dxa"/>
            <w:shd w:val="clear" w:color="auto" w:fill="F7F9FC"/>
            <w:vAlign w:val="center"/>
          </w:tcPr>
          <w:p>
            <w:pPr>
              <w:spacing w:before="0" w:after="40" w:line="269" w:lineRule="auto"/>
            </w:pPr>
            <w:r>
              <w:rPr>
                <w:color w:val="000000"/>
                <w:sz w:val="19"/>
              </w:rPr>
              <w:t>全部通过；仅白名单配置变化</w:t>
            </w:r>
          </w:p>
        </w:tc>
      </w:tr>
    </w:tbl>
    <w:p>
      <w:pPr>
        <w:rPr>
          <w:rFonts w:hint="eastAsia" w:ascii="微软雅黑" w:hAnsi="微软雅黑" w:eastAsia="微软雅黑" w:cs="微软雅黑"/>
        </w:rPr>
      </w:pPr>
    </w:p>
    <w:p>
      <w:pPr>
        <w:pStyle w:val="4"/>
        <w:keepNext/>
      </w:pPr>
      <w:r>
        <w:rPr>
          <w:color w:val="000000"/>
        </w:rPr>
        <w:t>10.1 真实源切换门禁</w:t>
      </w:r>
    </w:p>
    <w:p>
      <w:pPr>
        <w:widowControl/>
      </w:pPr>
      <w:r>
        <w:t>阶段D先以模拟器贯通全部必选正式链路并保存发布包哈希、配置和用例证据。真实3.3须先通过同版ICD符合性检查。切换时停止模拟发送、清空延迟队列并进入安全状态；撤销旧源授权，按同一标准握手初始化真实源会话后再运行。可按部署流程重启，不承诺运行中无中断热切换。</w:t>
      </w:r>
    </w:p>
    <w:p>
      <w:pPr>
        <w:widowControl/>
      </w:pPr>
      <w:r>
        <w:t>切换回归逐项验证报文编码、反馈、握手和安全语义完全遵循同一ICD；周期、延迟、抖动、同步和模型响应满足预先冻结阈值。会话、设备身份和时间戳具体值可不同，但格式与规则相同。不允许事后扩大阈值、改字段或改映射来通过替换；任一必选项失败即不通过。</w:t>
      </w:r>
    </w:p>
    <w:p>
      <w:pPr>
        <w:widowControl/>
      </w:pPr>
      <w:r>
        <w:t>回退时撤销真实源，清空会话和缓冲，恢复已验证模拟源的白名单配置，按同一标准流程重新授权。全程使用同一3.6发布包和标准处理路径，源变更仅产生审计事件；多源冲突、旧会话和不匹配schema按相同规则拒绝。</w:t>
      </w:r>
    </w:p>
    <w:p>
      <w:pPr>
        <w:pStyle w:val="4"/>
        <w:keepNext/>
        <w:widowControl/>
      </w:pPr>
      <w:r>
        <w:rPr>
          <w:color w:val="000000"/>
        </w:rPr>
        <w:t>10.2 允许配置变更与禁止代码变更</w:t>
      </w:r>
    </w:p>
    <w:p>
      <w:pPr>
        <w:widowControl/>
      </w:pPr>
      <w:r>
        <w:t>仅允许修改预先签署白名单内的端点地址、监听/反馈端口绑定、已验证设备或通道选择、接线对应绑定、设备身份和授权凭据。端口等仅在正式ICD明确为部署参数时可变；CAN ID、帧格式、位速率及传输配置不得以改配置之名偏离冻结ICD。</w:t>
      </w:r>
    </w:p>
    <w:p>
      <w:pPr>
        <w:widowControl/>
      </w:pPr>
      <w:r>
        <w:t>禁止修改3.6可执行程序、接入服务、已冻结驱动/库、编解码器、DBC/schema、外部到模型映射、模型契约、安全值、超时和业务规则；禁止新增转换器或mock/real业务分支。仅配置替换使用同一发布包，配置变更须逐项有差异记录。</w:t>
      </w:r>
    </w:p>
    <w:p>
      <w:pPr>
        <w:widowControl/>
      </w:pPr>
      <w:r>
        <w:t>供应方应修正真实3.3的接口偏差，使其符合共同基线。确需改变ICD或3.6程序时，走独立版本变更、三方同步升级和重新验证流程；不得登记为原基线平滑替换通过。</w:t>
      </w:r>
    </w:p>
    <w:p>
      <w:pPr>
        <w:pStyle w:val="4"/>
        <w:keepNext/>
        <w:widowControl/>
      </w:pPr>
      <w:r>
        <w:rPr>
          <w:color w:val="000000"/>
        </w:rPr>
        <w:t>10.3 替换通过条件与证据</w:t>
      </w:r>
    </w:p>
    <w:p>
      <w:pPr>
        <w:widowControl/>
      </w:pPr>
      <w:r>
        <w:t>替换前后核对3.6发布包、依赖库、驱动、DBC/schema、映射及模型契约哈希不变，并核对配置差异全部属于白名单。允许重启，但不得重新编译或安装新接口代码。证据包括共同ICD版本及哈希、正式链路测试、原始双向报文、回执/应用事件、模型响应和安全处置。</w:t>
      </w:r>
    </w:p>
    <w:p>
      <w:pPr>
        <w:widowControl/>
      </w:pPr>
      <w:r>
        <w:t>模拟器与真实3.3使用同一版本L/T测试套件、全部必选消息及正式链路、预先冻结阈值和第9.12节证据规则。任一编码、交互或安全规则不符合，接收/实际应用/规定反馈证据缺失，正式链路未验证，配置越界，或3.6受保护文件变化，均判定不通过。未就绪接口保持待验证，不能豁免为等价替换。</w:t>
      </w:r>
    </w:p>
    <w:p>
      <w:pPr>
        <w:pStyle w:val="3"/>
        <w:keepNext/>
        <w:rPr>
          <w:rFonts w:hint="eastAsia" w:ascii="微软雅黑" w:hAnsi="微软雅黑" w:eastAsia="微软雅黑" w:cs="微软雅黑"/>
        </w:rPr>
      </w:pPr>
      <w:r>
        <w:rPr>
          <w:rFonts w:hint="eastAsia" w:ascii="微软雅黑" w:hAnsi="微软雅黑" w:eastAsia="微软雅黑" w:cs="微软雅黑"/>
          <w:color w:val="000000"/>
        </w:rPr>
        <w:t>11. 风险控制与验收建议</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86"/>
        <w:gridCol w:w="3286"/>
        <w:gridCol w:w="328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blHeader/>
          <w:cantSplit/>
        </w:trPr>
        <w:tc>
          <w:tcPr>
            <w:tcW w:w="3286" w:type="dxa"/>
            <w:shd w:val="clear" w:color="auto" w:fill="2F5597"/>
            <w:vAlign w:val="center"/>
          </w:tcPr>
          <w:p>
            <w:pPr>
              <w:keepNext/>
              <w:jc w:val="center"/>
              <w:rPr>
                <w:rFonts w:hint="eastAsia" w:ascii="微软雅黑" w:hAnsi="微软雅黑" w:eastAsia="微软雅黑" w:cs="微软雅黑"/>
              </w:rPr>
            </w:pPr>
            <w:r>
              <w:rPr>
                <w:rFonts w:hint="eastAsia" w:ascii="微软雅黑" w:hAnsi="微软雅黑" w:eastAsia="微软雅黑" w:cs="微软雅黑"/>
                <w:b/>
                <w:color w:val="FFFFFF"/>
                <w:sz w:val="18"/>
              </w:rPr>
              <w:t>风险</w:t>
            </w:r>
          </w:p>
        </w:tc>
        <w:tc>
          <w:tcPr>
            <w:tcW w:w="3286" w:type="dxa"/>
            <w:shd w:val="clear" w:color="auto" w:fill="2F5597"/>
            <w:vAlign w:val="center"/>
          </w:tcPr>
          <w:p>
            <w:pPr>
              <w:keepNext/>
              <w:jc w:val="center"/>
              <w:rPr>
                <w:rFonts w:hint="eastAsia" w:ascii="微软雅黑" w:hAnsi="微软雅黑" w:eastAsia="微软雅黑" w:cs="微软雅黑"/>
              </w:rPr>
            </w:pPr>
            <w:r>
              <w:rPr>
                <w:rFonts w:hint="eastAsia" w:ascii="微软雅黑" w:hAnsi="微软雅黑" w:eastAsia="微软雅黑" w:cs="微软雅黑"/>
                <w:b/>
                <w:color w:val="FFFFFF"/>
                <w:sz w:val="18"/>
              </w:rPr>
              <w:t>控制措施</w:t>
            </w:r>
          </w:p>
        </w:tc>
        <w:tc>
          <w:tcPr>
            <w:tcW w:w="3286" w:type="dxa"/>
            <w:shd w:val="clear" w:color="auto" w:fill="2F5597"/>
            <w:vAlign w:val="center"/>
          </w:tcPr>
          <w:p>
            <w:pPr>
              <w:keepNext/>
              <w:jc w:val="center"/>
              <w:rPr>
                <w:rFonts w:hint="eastAsia" w:ascii="微软雅黑" w:hAnsi="微软雅黑" w:eastAsia="微软雅黑" w:cs="微软雅黑"/>
              </w:rPr>
            </w:pPr>
            <w:r>
              <w:rPr>
                <w:rFonts w:hint="eastAsia" w:ascii="微软雅黑" w:hAnsi="微软雅黑" w:eastAsia="微软雅黑" w:cs="微软雅黑"/>
                <w:b/>
                <w:color w:val="FFFFFF"/>
                <w:sz w:val="18"/>
              </w:rPr>
              <w:t>关闭标准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3286" w:type="dxa"/>
            <w:shd w:val="clear" w:color="auto" w:fill="FFFFFF"/>
            <w:vAlign w:val="center"/>
          </w:tcPr>
          <w:p>
            <w:pPr>
              <w:jc w:val="center"/>
              <w:rPr>
                <w:rFonts w:hint="eastAsia" w:ascii="微软雅黑" w:hAnsi="微软雅黑" w:eastAsia="微软雅黑" w:cs="微软雅黑"/>
              </w:rPr>
            </w:pPr>
            <w:r>
              <w:rPr>
                <w:rFonts w:hint="eastAsia" w:ascii="微软雅黑" w:hAnsi="微软雅黑" w:eastAsia="微软雅黑" w:cs="微软雅黑"/>
                <w:b w:val="0"/>
                <w:color w:val="000000"/>
                <w:sz w:val="18"/>
              </w:rPr>
              <w:t>ICD持续变化</w:t>
            </w:r>
          </w:p>
        </w:tc>
        <w:tc>
          <w:tcPr>
            <w:tcW w:w="3286" w:type="dxa"/>
            <w:shd w:val="clear" w:color="auto" w:fill="FFFFFF"/>
            <w:vAlign w:val="center"/>
          </w:tcPr>
          <w:p>
            <w:pPr>
              <w:jc w:val="left"/>
              <w:rPr>
                <w:rFonts w:hint="eastAsia" w:ascii="微软雅黑" w:hAnsi="微软雅黑" w:eastAsia="微软雅黑" w:cs="微软雅黑"/>
              </w:rPr>
            </w:pPr>
            <w:r>
              <w:rPr>
                <w:rFonts w:hint="eastAsia" w:ascii="微软雅黑" w:hAnsi="微软雅黑" w:eastAsia="微软雅黑" w:cs="微软雅黑"/>
                <w:b w:val="0"/>
                <w:color w:val="000000"/>
                <w:sz w:val="18"/>
              </w:rPr>
              <w:t>接口版本号+变更记录；破坏兼容性需评审</w:t>
            </w:r>
          </w:p>
        </w:tc>
        <w:tc>
          <w:tcPr>
            <w:tcW w:w="3286" w:type="dxa"/>
            <w:shd w:val="clear" w:color="auto" w:fill="FFFFFF"/>
            <w:vAlign w:val="center"/>
          </w:tcPr>
          <w:p>
            <w:pPr>
              <w:jc w:val="left"/>
              <w:rPr>
                <w:rFonts w:hint="eastAsia" w:ascii="微软雅黑" w:hAnsi="微软雅黑" w:eastAsia="微软雅黑" w:cs="微软雅黑"/>
              </w:rPr>
            </w:pPr>
            <w:r>
              <w:rPr>
                <w:rFonts w:hint="eastAsia" w:ascii="微软雅黑" w:hAnsi="微软雅黑" w:eastAsia="微软雅黑" w:cs="微软雅黑"/>
                <w:b w:val="0"/>
                <w:color w:val="000000"/>
                <w:sz w:val="18"/>
              </w:rPr>
              <w:t>V1.0冻结后按版本开发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3286" w:type="dxa"/>
            <w:shd w:val="clear" w:color="auto" w:fill="F7F9FC"/>
            <w:vAlign w:val="center"/>
          </w:tcPr>
          <w:p>
            <w:pPr>
              <w:jc w:val="center"/>
              <w:rPr>
                <w:rFonts w:hint="eastAsia" w:ascii="微软雅黑" w:hAnsi="微软雅黑" w:eastAsia="微软雅黑" w:cs="微软雅黑"/>
              </w:rPr>
            </w:pPr>
            <w:r>
              <w:rPr>
                <w:rFonts w:hint="eastAsia" w:ascii="微软雅黑" w:hAnsi="微软雅黑" w:eastAsia="微软雅黑" w:cs="微软雅黑"/>
                <w:b w:val="0"/>
                <w:color w:val="000000"/>
                <w:sz w:val="18"/>
              </w:rPr>
              <w:t>模拟数据过于理想</w:t>
            </w:r>
          </w:p>
        </w:tc>
        <w:tc>
          <w:tcPr>
            <w:tcW w:w="3286" w:type="dxa"/>
            <w:shd w:val="clear" w:color="auto" w:fill="F7F9FC"/>
            <w:vAlign w:val="center"/>
          </w:tcPr>
          <w:p>
            <w:pPr>
              <w:jc w:val="left"/>
              <w:rPr>
                <w:rFonts w:hint="eastAsia" w:ascii="微软雅黑" w:hAnsi="微软雅黑" w:eastAsia="微软雅黑" w:cs="微软雅黑"/>
              </w:rPr>
            </w:pPr>
            <w:r>
              <w:rPr>
                <w:rFonts w:hint="eastAsia" w:ascii="微软雅黑" w:hAnsi="微软雅黑" w:eastAsia="微软雅黑" w:cs="微软雅黑"/>
                <w:b w:val="0"/>
                <w:color w:val="000000"/>
                <w:sz w:val="18"/>
              </w:rPr>
              <w:t>增加真实回放、抖动和异常注入</w:t>
            </w:r>
          </w:p>
        </w:tc>
        <w:tc>
          <w:tcPr>
            <w:tcW w:w="3286" w:type="dxa"/>
            <w:shd w:val="clear" w:color="auto" w:fill="F7F9FC"/>
            <w:vAlign w:val="center"/>
          </w:tcPr>
          <w:p>
            <w:pPr>
              <w:jc w:val="left"/>
              <w:rPr>
                <w:rFonts w:hint="eastAsia" w:ascii="微软雅黑" w:hAnsi="微软雅黑" w:eastAsia="微软雅黑" w:cs="微软雅黑"/>
              </w:rPr>
            </w:pPr>
            <w:r>
              <w:rPr>
                <w:rFonts w:hint="eastAsia" w:ascii="微软雅黑" w:hAnsi="微软雅黑" w:eastAsia="微软雅黑" w:cs="微软雅黑"/>
                <w:b w:val="0"/>
                <w:color w:val="000000"/>
                <w:sz w:val="18"/>
              </w:rPr>
              <w:t>覆盖四类工况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3286" w:type="dxa"/>
            <w:shd w:val="clear" w:color="auto" w:fill="FFFFFF"/>
            <w:vAlign w:val="center"/>
          </w:tcPr>
          <w:p>
            <w:pPr>
              <w:spacing w:before="0" w:after="40" w:line="269" w:lineRule="auto"/>
            </w:pPr>
            <w:r>
              <w:rPr>
                <w:color w:val="000000"/>
                <w:sz w:val="19"/>
              </w:rPr>
              <w:t>3.6绑定模拟器</w:t>
            </w:r>
          </w:p>
        </w:tc>
        <w:tc>
          <w:tcPr>
            <w:tcW w:w="3286" w:type="dxa"/>
            <w:shd w:val="clear" w:color="auto" w:fill="FFFFFF"/>
            <w:vAlign w:val="center"/>
          </w:tcPr>
          <w:p>
            <w:pPr>
              <w:spacing w:before="0" w:after="40" w:line="269" w:lineRule="auto"/>
            </w:pPr>
            <w:r>
              <w:rPr>
                <w:color w:val="000000"/>
                <w:sz w:val="19"/>
              </w:rPr>
              <w:t>统一正式入口；禁止模拟专用协议、旁路及来源业务分支</w:t>
            </w:r>
          </w:p>
        </w:tc>
        <w:tc>
          <w:tcPr>
            <w:tcW w:w="3286" w:type="dxa"/>
            <w:shd w:val="clear" w:color="auto" w:fill="FFFFFF"/>
            <w:vAlign w:val="center"/>
          </w:tcPr>
          <w:p>
            <w:pPr>
              <w:spacing w:before="0" w:after="40" w:line="269" w:lineRule="auto"/>
            </w:pPr>
            <w:r>
              <w:rPr>
                <w:color w:val="000000"/>
                <w:sz w:val="19"/>
              </w:rPr>
              <w:t>同一发布包、同一处理路径、仅配置切换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3286" w:type="dxa"/>
            <w:shd w:val="clear" w:color="auto" w:fill="F7F9FC"/>
            <w:vAlign w:val="center"/>
          </w:tcPr>
          <w:p>
            <w:pPr>
              <w:spacing w:before="0" w:after="40" w:line="269" w:lineRule="auto"/>
            </w:pPr>
            <w:r>
              <w:rPr>
                <w:color w:val="000000"/>
                <w:sz w:val="19"/>
              </w:rPr>
              <w:t>虚拟与物理接口差异</w:t>
            </w:r>
          </w:p>
        </w:tc>
        <w:tc>
          <w:tcPr>
            <w:tcW w:w="3286" w:type="dxa"/>
            <w:shd w:val="clear" w:color="auto" w:fill="F7F9FC"/>
            <w:vAlign w:val="center"/>
          </w:tcPr>
          <w:p>
            <w:pPr>
              <w:spacing w:before="0" w:after="40" w:line="269" w:lineRule="auto"/>
            </w:pPr>
            <w:r>
              <w:rPr>
                <w:color w:val="000000"/>
                <w:sz w:val="19"/>
              </w:rPr>
              <w:t>阶段D提前完成真实板卡/驱动和全部正式链路验证</w:t>
            </w:r>
          </w:p>
        </w:tc>
        <w:tc>
          <w:tcPr>
            <w:tcW w:w="3286" w:type="dxa"/>
            <w:shd w:val="clear" w:color="auto" w:fill="F7F9FC"/>
            <w:vAlign w:val="center"/>
          </w:tcPr>
          <w:p>
            <w:pPr>
              <w:spacing w:before="0" w:after="40" w:line="269" w:lineRule="auto"/>
            </w:pPr>
            <w:r>
              <w:rPr>
                <w:color w:val="000000"/>
                <w:sz w:val="19"/>
              </w:rPr>
              <w:t>冻结驱动和传输配置；不留待真实3.3替换时开发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3286" w:type="dxa"/>
            <w:shd w:val="clear" w:color="auto" w:fill="FFFFFF"/>
            <w:vAlign w:val="center"/>
          </w:tcPr>
          <w:p>
            <w:pPr>
              <w:jc w:val="center"/>
              <w:rPr>
                <w:rFonts w:hint="eastAsia" w:ascii="微软雅黑" w:hAnsi="微软雅黑" w:eastAsia="微软雅黑" w:cs="微软雅黑"/>
              </w:rPr>
            </w:pPr>
            <w:r>
              <w:rPr>
                <w:rFonts w:hint="eastAsia" w:ascii="微软雅黑" w:hAnsi="微软雅黑" w:eastAsia="微软雅黑" w:cs="微软雅黑"/>
                <w:b w:val="0"/>
                <w:color w:val="000000"/>
                <w:sz w:val="18"/>
              </w:rPr>
              <w:t>真实3.3时序差异</w:t>
            </w:r>
          </w:p>
        </w:tc>
        <w:tc>
          <w:tcPr>
            <w:tcW w:w="3286" w:type="dxa"/>
            <w:shd w:val="clear" w:color="auto" w:fill="FFFFFF"/>
            <w:vAlign w:val="center"/>
          </w:tcPr>
          <w:p>
            <w:pPr>
              <w:jc w:val="left"/>
              <w:rPr>
                <w:rFonts w:hint="eastAsia" w:ascii="微软雅黑" w:hAnsi="微软雅黑" w:eastAsia="微软雅黑" w:cs="微软雅黑"/>
              </w:rPr>
            </w:pPr>
            <w:r>
              <w:rPr>
                <w:rFonts w:hint="eastAsia" w:ascii="微软雅黑" w:hAnsi="微软雅黑" w:eastAsia="微软雅黑" w:cs="微软雅黑"/>
                <w:b w:val="0"/>
                <w:color w:val="000000"/>
                <w:sz w:val="18"/>
              </w:rPr>
              <w:t>记录周期、延迟、丢包率并对比</w:t>
            </w:r>
          </w:p>
        </w:tc>
        <w:tc>
          <w:tcPr>
            <w:tcW w:w="3286" w:type="dxa"/>
            <w:shd w:val="clear" w:color="auto" w:fill="FFFFFF"/>
            <w:vAlign w:val="center"/>
          </w:tcPr>
          <w:p>
            <w:pPr>
              <w:jc w:val="left"/>
              <w:rPr>
                <w:rFonts w:hint="eastAsia" w:ascii="微软雅黑" w:hAnsi="微软雅黑" w:eastAsia="微软雅黑" w:cs="微软雅黑"/>
              </w:rPr>
            </w:pPr>
            <w:r>
              <w:rPr>
                <w:rFonts w:hint="eastAsia" w:ascii="微软雅黑" w:hAnsi="微软雅黑" w:eastAsia="微软雅黑" w:cs="微软雅黑"/>
                <w:b w:val="0"/>
                <w:color w:val="000000"/>
                <w:sz w:val="18"/>
              </w:rPr>
              <w:t>满足ICD时序门限</w:t>
            </w:r>
          </w:p>
        </w:tc>
      </w:tr>
    </w:tbl>
    <w:p>
      <w:pPr>
        <w:rPr>
          <w:rFonts w:hint="eastAsia" w:ascii="微软雅黑" w:hAnsi="微软雅黑" w:eastAsia="微软雅黑" w:cs="微软雅黑"/>
        </w:rPr>
      </w:pPr>
    </w:p>
    <w:p>
      <w:pPr>
        <w:pStyle w:val="4"/>
        <w:keepNext/>
        <w:rPr>
          <w:rFonts w:hint="eastAsia" w:ascii="微软雅黑" w:hAnsi="微软雅黑" w:eastAsia="微软雅黑" w:cs="微软雅黑"/>
        </w:rPr>
      </w:pPr>
      <w:r>
        <w:rPr>
          <w:rFonts w:hint="eastAsia" w:ascii="微软雅黑" w:hAnsi="微软雅黑" w:eastAsia="微软雅黑" w:cs="微软雅黑"/>
          <w:color w:val="000000"/>
        </w:rPr>
        <w:t>11.1 3.3未完成阶段可先验收的内容</w:t>
      </w:r>
    </w:p>
    <w:p>
      <w:pPr>
        <w:pStyle w:val="16"/>
        <w:widowControl/>
        <w:spacing w:after="60"/>
        <w:rPr>
          <w:rFonts w:hint="eastAsia" w:ascii="微软雅黑" w:hAnsi="微软雅黑" w:eastAsia="微软雅黑" w:cs="微软雅黑"/>
        </w:rPr>
      </w:pPr>
      <w:r>
        <w:rPr>
          <w:rFonts w:hint="eastAsia" w:ascii="微软雅黑" w:hAnsi="微软雅黑" w:eastAsia="微软雅黑" w:cs="微软雅黑"/>
        </w:rPr>
        <w:t>3.6按ICD正确接收和解析模拟输入；</w:t>
      </w:r>
    </w:p>
    <w:p>
      <w:pPr>
        <w:pStyle w:val="16"/>
        <w:widowControl/>
        <w:spacing w:after="60"/>
        <w:rPr>
          <w:rFonts w:hint="eastAsia" w:ascii="微软雅黑" w:hAnsi="微软雅黑" w:eastAsia="微软雅黑" w:cs="微软雅黑"/>
        </w:rPr>
      </w:pPr>
      <w:r>
        <w:rPr>
          <w:rFonts w:hint="eastAsia" w:ascii="微软雅黑" w:hAnsi="微软雅黑" w:eastAsia="微软雅黑" w:cs="微软雅黑"/>
        </w:rPr>
        <w:t>模型加载、实时解算、启停、在线调参等基础功能正常；</w:t>
      </w:r>
    </w:p>
    <w:p>
      <w:pPr>
        <w:pStyle w:val="16"/>
        <w:widowControl/>
        <w:spacing w:after="60"/>
        <w:rPr>
          <w:rFonts w:hint="eastAsia" w:ascii="微软雅黑" w:hAnsi="微软雅黑" w:eastAsia="微软雅黑" w:cs="微软雅黑"/>
        </w:rPr>
      </w:pPr>
      <w:r>
        <w:rPr>
          <w:rFonts w:hint="eastAsia" w:ascii="微软雅黑" w:hAnsi="微软雅黑" w:eastAsia="微软雅黑" w:cs="微软雅黑"/>
        </w:rPr>
        <w:t>正常/边界/异常/通信故障场景可稳定执行；</w:t>
      </w:r>
    </w:p>
    <w:p>
      <w:pPr>
        <w:pStyle w:val="16"/>
        <w:widowControl/>
        <w:spacing w:after="60"/>
        <w:rPr>
          <w:rFonts w:hint="eastAsia" w:ascii="微软雅黑" w:hAnsi="微软雅黑" w:eastAsia="微软雅黑" w:cs="微软雅黑"/>
        </w:rPr>
      </w:pPr>
      <w:r>
        <w:rPr>
          <w:rFonts w:hint="eastAsia" w:ascii="微软雅黑" w:hAnsi="微软雅黑" w:eastAsia="微软雅黑" w:cs="微软雅黑"/>
        </w:rPr>
        <w:t>输入、输出、日志和时序性能可记录与回放；</w:t>
      </w:r>
    </w:p>
    <w:p>
      <w:pPr>
        <w:pStyle w:val="16"/>
        <w:widowControl/>
        <w:spacing w:after="60"/>
        <w:rPr>
          <w:rFonts w:hint="eastAsia" w:ascii="微软雅黑" w:hAnsi="微软雅黑" w:eastAsia="微软雅黑" w:cs="微软雅黑"/>
        </w:rPr>
      </w:pPr>
      <w:r>
        <w:t>阶段D以模拟器完成正式驱动、物理链路及全部必选消息验证并冻结发布基线；真实3.3就绪后再执行仅配置替换验证。未完成正式链路的项目不得声称已具备平滑替换验收条件。</w:t>
      </w:r>
    </w:p>
    <w:p>
      <w:pPr>
        <w:pStyle w:val="4"/>
        <w:keepNext/>
      </w:pPr>
      <w:r>
        <w:rPr>
          <w:color w:val="000000"/>
        </w:rPr>
        <w:t>11.2 软件阶段与硬件阶段验收分工</w:t>
      </w:r>
    </w:p>
    <w:p>
      <w:pPr>
        <w:widowControl/>
      </w:pPr>
      <w:r>
        <w:t>软件阶段验证报文、字段映射、反馈、断言、控制权、应用故障和回放。模型加载/调参/解算等3.6自身能力按既有验收入口验证；模拟器输入通过并不自动证明这些能力全部合格。实体I/O、真实信号切换、波形/协议时间同步、TSN、反射内存和图像物理链路按独立硬件用例验收。</w:t>
      </w:r>
    </w:p>
    <w:tbl>
      <w:tblPr>
        <w:tblW w:type="auto" w:w="0"/>
        <w:jc w:val="center"/>
        <w:tblLayout w:type="fixed"/>
        <w:tblLook w:firstColumn="1" w:firstRow="1" w:lastColumn="0" w:lastRow="0" w:noHBand="0" w:noVBand="1" w:val="04A0"/>
      </w:tblPr>
      <w:tblGrid>
        <w:gridCol w:w="2098"/>
        <w:gridCol w:w="4309"/>
        <w:gridCol w:w="3402"/>
      </w:tblGrid>
      <w:tr>
        <w:trPr>
          <w:tblHeader/>
          <w:cantSplit/>
        </w:trPr>
        <w:tc>
          <w:tcPr>
            <w:tcW w:type="dxa" w:w="2098"/>
            <w:vAlign w:val="center"/>
            <w:shd w:fill="DCE9F4"/>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spacing w:after="40" w:before="0" w:line="269" w:lineRule="auto"/>
            </w:pPr>
            <w:r>
              <w:rPr>
                <w:b/>
                <w:color w:val="000000"/>
                <w:sz w:val="19"/>
              </w:rPr>
              <w:t>指标</w:t>
            </w:r>
          </w:p>
        </w:tc>
        <w:tc>
          <w:tcPr>
            <w:tcW w:type="dxa" w:w="4309"/>
            <w:vAlign w:val="center"/>
            <w:shd w:fill="DCE9F4"/>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spacing w:after="40" w:before="0" w:line="269" w:lineRule="auto"/>
            </w:pPr>
            <w:r>
              <w:rPr>
                <w:b/>
                <w:color w:val="000000"/>
                <w:sz w:val="19"/>
              </w:rPr>
              <w:t>判定依据</w:t>
            </w:r>
          </w:p>
        </w:tc>
        <w:tc>
          <w:tcPr>
            <w:tcW w:type="dxa" w:w="3402"/>
            <w:vAlign w:val="center"/>
            <w:shd w:fill="DCE9F4"/>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spacing w:after="40" w:before="0" w:line="269" w:lineRule="auto"/>
            </w:pPr>
            <w:r>
              <w:rPr>
                <w:b/>
                <w:color w:val="000000"/>
                <w:sz w:val="19"/>
              </w:rPr>
              <w:t>证据</w:t>
            </w:r>
          </w:p>
        </w:tc>
      </w:tr>
      <w:tr>
        <w:trPr>
          <w:cantSplit/>
        </w:trPr>
        <w:tc>
          <w:tcPr>
            <w:tcW w:type="dxa" w:w="2098"/>
            <w:vAlign w:val="cente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before="0" w:after="40" w:line="269" w:lineRule="auto"/>
            </w:pPr>
            <w:r>
              <w:rPr>
                <w:rFonts w:ascii="Microsoft YaHei" w:hAnsi="Microsoft YaHei"/>
                <w:color w:val="000000"/>
                <w:sz w:val="19"/>
              </w:rPr>
              <w:t>输入与反馈正确性</w:t>
            </w:r>
          </w:p>
        </w:tc>
        <w:tc>
          <w:tcPr>
            <w:tcW w:type="dxa" w:w="4309"/>
            <w:vAlign w:val="cente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before="0" w:after="40" w:line="269" w:lineRule="auto"/>
            </w:pPr>
            <w:r>
              <w:rPr>
                <w:rFonts w:ascii="Microsoft YaHei" w:hAnsi="Microsoft YaHei"/>
                <w:color w:val="000000"/>
                <w:sz w:val="19"/>
              </w:rPr>
              <w:t>冻结ICD及第9.12节逐链路L/T用例；全部必选项执行</w:t>
            </w:r>
          </w:p>
        </w:tc>
        <w:tc>
          <w:tcPr>
            <w:tcW w:type="dxa" w:w="3402"/>
            <w:vAlign w:val="cente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before="0" w:after="40" w:line="269" w:lineRule="auto"/>
            </w:pPr>
            <w:r>
              <w:rPr>
                <w:rFonts w:ascii="Microsoft YaHei" w:hAnsi="Microsoft YaHei"/>
                <w:color w:val="000000"/>
                <w:sz w:val="19"/>
              </w:rPr>
              <w:t>E0～E3适用证据：原码、解码量、实际输入/任务应用探针和响应断言</w:t>
            </w:r>
          </w:p>
        </w:tc>
      </w:tr>
      <w:tr>
        <w:trPr>
          <w:cantSplit/>
        </w:trPr>
        <w:tc>
          <w:tcPr>
            <w:tcW w:type="dxa" w:w="2098"/>
            <w:vAlign w:val="center"/>
            <w:shd w:fill="F4F6F8"/>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before="0" w:line="269" w:lineRule="auto"/>
            </w:pPr>
            <w:r>
              <w:rPr>
                <w:b w:val="0"/>
                <w:color w:val="000000"/>
                <w:sz w:val="19"/>
              </w:rPr>
              <w:t>模型运算周期</w:t>
            </w:r>
          </w:p>
        </w:tc>
        <w:tc>
          <w:tcPr>
            <w:tcW w:type="dxa" w:w="4309"/>
            <w:vAlign w:val="center"/>
            <w:shd w:fill="F4F6F8"/>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before="0" w:line="269" w:lineRule="auto"/>
            </w:pPr>
            <w:r>
              <w:rPr>
                <w:b w:val="0"/>
                <w:color w:val="000000"/>
                <w:sz w:val="19"/>
              </w:rPr>
              <w:t>标书1 ms±10 μs；窗口/负载/测量方法经认可</w:t>
            </w:r>
          </w:p>
        </w:tc>
        <w:tc>
          <w:tcPr>
            <w:tcW w:type="dxa" w:w="3402"/>
            <w:vAlign w:val="center"/>
            <w:shd w:fill="F4F6F8"/>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before="0" w:line="269" w:lineRule="auto"/>
            </w:pPr>
            <w:r>
              <w:rPr>
                <w:b w:val="0"/>
                <w:color w:val="000000"/>
                <w:sz w:val="19"/>
              </w:rPr>
              <w:t>逐周期原始记录、最大偏差、超差明细</w:t>
            </w:r>
          </w:p>
        </w:tc>
      </w:tr>
      <w:tr>
        <w:trPr>
          <w:cantSplit/>
        </w:trPr>
        <w:tc>
          <w:tcPr>
            <w:tcW w:type="dxa" w:w="2098"/>
            <w:vAlign w:val="cente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before="0" w:line="269" w:lineRule="auto"/>
            </w:pPr>
            <w:r>
              <w:rPr>
                <w:b w:val="0"/>
                <w:color w:val="000000"/>
                <w:sz w:val="19"/>
              </w:rPr>
              <w:t>图像设备周期</w:t>
            </w:r>
          </w:p>
        </w:tc>
        <w:tc>
          <w:tcPr>
            <w:tcW w:type="dxa" w:w="4309"/>
            <w:vAlign w:val="cente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before="0" w:line="269" w:lineRule="auto"/>
            </w:pPr>
            <w:r>
              <w:rPr>
                <w:b w:val="0"/>
                <w:color w:val="000000"/>
                <w:sz w:val="19"/>
              </w:rPr>
              <w:t>标书10 ms±0.1 ms；区别于视频帧率</w:t>
            </w:r>
          </w:p>
        </w:tc>
        <w:tc>
          <w:tcPr>
            <w:tcW w:type="dxa" w:w="3402"/>
            <w:vAlign w:val="cente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before="0" w:line="269" w:lineRule="auto"/>
            </w:pPr>
            <w:r>
              <w:rPr>
                <w:b w:val="0"/>
                <w:color w:val="000000"/>
                <w:sz w:val="19"/>
              </w:rPr>
              <w:t>调度时间、帧号/PTS和同步误差</w:t>
            </w:r>
          </w:p>
        </w:tc>
      </w:tr>
      <w:tr>
        <w:trPr>
          <w:cantSplit/>
        </w:trPr>
        <w:tc>
          <w:tcPr>
            <w:tcW w:type="dxa" w:w="2098"/>
            <w:vAlign w:val="center"/>
            <w:shd w:fill="F4F6F8"/>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before="0" w:line="269" w:lineRule="auto"/>
            </w:pPr>
            <w:r>
              <w:rPr>
                <w:b w:val="0"/>
                <w:color w:val="000000"/>
                <w:sz w:val="19"/>
              </w:rPr>
              <w:t>测试通信与同步</w:t>
            </w:r>
          </w:p>
        </w:tc>
        <w:tc>
          <w:tcPr>
            <w:tcW w:type="dxa" w:w="4309"/>
            <w:vAlign w:val="center"/>
            <w:shd w:fill="F4F6F8"/>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before="0" w:line="269" w:lineRule="auto"/>
            </w:pPr>
            <w:r>
              <w:rPr>
                <w:b w:val="0"/>
                <w:color w:val="000000"/>
                <w:sz w:val="19"/>
              </w:rPr>
              <w:t>80 ms±1 ms；设计同步误差≤1 ms；适用流明确</w:t>
            </w:r>
          </w:p>
        </w:tc>
        <w:tc>
          <w:tcPr>
            <w:tcW w:type="dxa" w:w="3402"/>
            <w:vAlign w:val="center"/>
            <w:shd w:fill="F4F6F8"/>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before="0" w:line="269" w:lineRule="auto"/>
            </w:pPr>
            <w:r>
              <w:rPr>
                <w:b w:val="0"/>
                <w:color w:val="000000"/>
                <w:sz w:val="19"/>
              </w:rPr>
              <w:t>硬件或已校准时间戳、同步误差与负载记录</w:t>
            </w:r>
          </w:p>
        </w:tc>
      </w:tr>
      <w:tr>
        <w:trPr>
          <w:cantSplit/>
        </w:trPr>
        <w:tc>
          <w:tcPr>
            <w:tcW w:type="dxa" w:w="2098"/>
            <w:vAlign w:val="cente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before="0" w:line="269" w:lineRule="auto"/>
            </w:pPr>
            <w:r>
              <w:rPr>
                <w:b w:val="0"/>
                <w:color w:val="000000"/>
                <w:sz w:val="19"/>
              </w:rPr>
              <w:t>物理接口</w:t>
            </w:r>
          </w:p>
        </w:tc>
        <w:tc>
          <w:tcPr>
            <w:tcW w:type="dxa" w:w="4309"/>
            <w:vAlign w:val="cente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before="0" w:line="269" w:lineRule="auto"/>
            </w:pPr>
            <w:r>
              <w:rPr>
                <w:b w:val="0"/>
                <w:color w:val="000000"/>
                <w:sz w:val="19"/>
              </w:rPr>
              <w:t>R08～R12和R15的通道、速率、电气及精度规格</w:t>
            </w:r>
          </w:p>
        </w:tc>
        <w:tc>
          <w:tcPr>
            <w:tcW w:type="dxa" w:w="3402"/>
            <w:vAlign w:val="cente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before="0" w:line="269" w:lineRule="auto"/>
            </w:pPr>
            <w:r>
              <w:rPr>
                <w:b w:val="0"/>
                <w:color w:val="000000"/>
                <w:sz w:val="19"/>
              </w:rPr>
              <w:t>接线表、校准/仪器、逐通道结果</w:t>
            </w:r>
          </w:p>
        </w:tc>
      </w:tr>
      <w:tr>
        <w:trPr>
          <w:cantSplit/>
        </w:trPr>
        <w:tc>
          <w:tcPr>
            <w:tcW w:type="dxa" w:w="2098"/>
            <w:vAlign w:val="center"/>
            <w:shd w:fill="F4F6F8"/>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before="0" w:line="269" w:lineRule="auto"/>
            </w:pPr>
            <w:r>
              <w:rPr>
                <w:b w:val="0"/>
                <w:color w:val="000000"/>
                <w:sz w:val="19"/>
              </w:rPr>
              <w:t>长时间联调</w:t>
            </w:r>
          </w:p>
        </w:tc>
        <w:tc>
          <w:tcPr>
            <w:tcW w:type="dxa" w:w="4309"/>
            <w:vAlign w:val="center"/>
            <w:shd w:fill="F4F6F8"/>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before="0" w:line="269" w:lineRule="auto"/>
            </w:pPr>
            <w:r>
              <w:rPr>
                <w:b w:val="0"/>
                <w:color w:val="000000"/>
                <w:sz w:val="19"/>
              </w:rPr>
              <w:t>建议软件阶段至少连续30分钟，非新增标书门槛</w:t>
            </w:r>
          </w:p>
        </w:tc>
        <w:tc>
          <w:tcPr>
            <w:tcW w:type="dxa" w:w="3402"/>
            <w:vAlign w:val="center"/>
            <w:shd w:fill="F4F6F8"/>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before="0" w:line="269" w:lineRule="auto"/>
            </w:pPr>
            <w:r>
              <w:rPr>
                <w:b w:val="0"/>
                <w:color w:val="000000"/>
                <w:sz w:val="19"/>
              </w:rPr>
              <w:t>无死锁/失控增长；记录完整；全部异常可追溯</w:t>
            </w:r>
          </w:p>
        </w:tc>
      </w:tr>
      <w:tr>
        <w:trPr>
          <w:cantSplit/>
        </w:trPr>
        <w:tc>
          <w:tcPr>
            <w:tcW w:type="dxa" w:w="2098"/>
            <w:vAlign w:val="cente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before="0" w:after="40" w:line="269" w:lineRule="auto"/>
            </w:pPr>
            <w:r>
              <w:rPr>
                <w:color w:val="000000"/>
                <w:sz w:val="19"/>
              </w:rPr>
              <w:t>真实3.3替换</w:t>
            </w:r>
          </w:p>
        </w:tc>
        <w:tc>
          <w:tcPr>
            <w:tcW w:type="dxa" w:w="4309"/>
            <w:vAlign w:val="cente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before="0" w:after="40" w:line="269" w:lineRule="auto"/>
            </w:pPr>
            <w:r>
              <w:rPr>
                <w:color w:val="000000"/>
                <w:sz w:val="19"/>
              </w:rPr>
              <w:t>同一正式ICD、发布包和映射；仅白名单配置变更；全部必选用例通过</w:t>
            </w:r>
          </w:p>
        </w:tc>
        <w:tc>
          <w:tcPr>
            <w:tcW w:type="dxa" w:w="3402"/>
            <w:vAlign w:val="cente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before="0" w:after="40" w:line="269" w:lineRule="auto"/>
            </w:pPr>
            <w:r>
              <w:rPr>
                <w:color w:val="000000"/>
                <w:sz w:val="19"/>
              </w:rPr>
              <w:t>哈希清单、配置差异、同版符合性与T14证据</w:t>
            </w:r>
          </w:p>
        </w:tc>
      </w:tr>
    </w:tbl>
    <w:p/>
    <w:p>
      <w:pPr>
        <w:pStyle w:val="4"/>
        <w:keepNext/>
      </w:pPr>
      <w:r>
        <w:rPr>
          <w:color w:val="000000"/>
        </w:rPr>
        <w:t>11.3 启动实施前的确认清单</w:t>
      </w:r>
    </w:p>
    <w:tbl>
      <w:tblPr>
        <w:tblW w:type="auto" w:w="0"/>
        <w:jc w:val="center"/>
        <w:tblLayout w:type="fixed"/>
        <w:tblLook w:firstColumn="1" w:firstRow="1" w:lastColumn="0" w:lastRow="0" w:noHBand="0" w:noVBand="1" w:val="04A0"/>
      </w:tblPr>
      <w:tblGrid>
        <w:gridCol w:w="2835"/>
        <w:gridCol w:w="2891"/>
        <w:gridCol w:w="4082"/>
      </w:tblGrid>
      <w:tr>
        <w:trPr>
          <w:tblHeader/>
          <w:cantSplit/>
        </w:trPr>
        <w:tc>
          <w:tcPr>
            <w:tcW w:type="dxa" w:w="2835"/>
            <w:vAlign w:val="center"/>
            <w:shd w:fill="DCE9F4"/>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spacing w:after="40" w:before="0" w:line="269" w:lineRule="auto"/>
            </w:pPr>
            <w:r>
              <w:rPr>
                <w:b/>
                <w:color w:val="000000"/>
                <w:sz w:val="19"/>
              </w:rPr>
              <w:t>确认项</w:t>
            </w:r>
          </w:p>
        </w:tc>
        <w:tc>
          <w:tcPr>
            <w:tcW w:type="dxa" w:w="2891"/>
            <w:vAlign w:val="center"/>
            <w:shd w:fill="DCE9F4"/>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spacing w:after="40" w:before="0" w:line="269" w:lineRule="auto"/>
            </w:pPr>
            <w:r>
              <w:rPr>
                <w:b/>
                <w:color w:val="000000"/>
                <w:sz w:val="19"/>
              </w:rPr>
              <w:t>责任方</w:t>
            </w:r>
          </w:p>
        </w:tc>
        <w:tc>
          <w:tcPr>
            <w:tcW w:type="dxa" w:w="4082"/>
            <w:vAlign w:val="center"/>
            <w:shd w:fill="DCE9F4"/>
            <w:tcBorders>
              <w:top w:val="single" w:sz="4" w:color="D9D9D9"/>
              <w:left w:val="single" w:sz="4" w:color="D9D9D9"/>
              <w:bottom w:val="single" w:sz="4" w:color="D9D9D9"/>
              <w:right w:val="single" w:sz="4" w:color="D9D9D9"/>
            </w:tcBorders>
            <w:tcMar>
              <w:top w:w="75" w:type="dxa"/>
              <w:bottom w:w="75" w:type="dxa"/>
              <w:left w:w="90" w:type="dxa"/>
              <w:right w:w="90" w:type="dxa"/>
            </w:tcMar>
          </w:tcPr>
          <w:p>
            <w:pPr>
              <w:keepNext/>
              <w:spacing w:after="40" w:before="0" w:line="269" w:lineRule="auto"/>
            </w:pPr>
            <w:r>
              <w:rPr>
                <w:b/>
                <w:color w:val="000000"/>
                <w:sz w:val="19"/>
              </w:rPr>
              <w:t>关闭证据</w:t>
            </w:r>
          </w:p>
        </w:tc>
      </w:tr>
      <w:tr>
        <w:trPr>
          <w:cantSplit/>
        </w:trPr>
        <w:tc>
          <w:tcPr>
            <w:tcW w:type="dxa" w:w="2835"/>
            <w:vAlign w:val="cente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before="0" w:after="40" w:line="269" w:lineRule="auto"/>
            </w:pPr>
            <w:r>
              <w:rPr>
                <w:color w:val="000000"/>
                <w:sz w:val="19"/>
              </w:rPr>
              <w:t>3.3↔3.6正式接口基线</w:t>
            </w:r>
          </w:p>
        </w:tc>
        <w:tc>
          <w:tcPr>
            <w:tcW w:type="dxa" w:w="2891"/>
            <w:vAlign w:val="cente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before="0" w:after="40" w:line="269" w:lineRule="auto"/>
            </w:pPr>
            <w:r>
              <w:rPr>
                <w:color w:val="000000"/>
                <w:sz w:val="19"/>
              </w:rPr>
              <w:t>3.3/模拟器/3.6负责人、买方接口方</w:t>
            </w:r>
          </w:p>
        </w:tc>
        <w:tc>
          <w:tcPr>
            <w:tcW w:type="dxa" w:w="4082"/>
            <w:vAlign w:val="cente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before="0" w:after="40" w:line="269" w:lineRule="auto"/>
            </w:pPr>
            <w:r>
              <w:rPr>
                <w:color w:val="000000"/>
                <w:sz w:val="19"/>
              </w:rPr>
              <w:t>共同签署ICD、传输配置、DBC/schema、覆盖清单和符合性用例</w:t>
            </w:r>
          </w:p>
        </w:tc>
      </w:tr>
      <w:tr>
        <w:trPr>
          <w:cantSplit/>
        </w:trPr>
        <w:tc>
          <w:tcPr>
            <w:tcW w:type="dxa" w:w="2835"/>
            <w:vAlign w:val="center"/>
            <w:shd w:fill="F4F6F8"/>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before="0" w:line="269" w:lineRule="auto"/>
            </w:pPr>
            <w:r>
              <w:rPr>
                <w:b w:val="0"/>
                <w:color w:val="000000"/>
                <w:sz w:val="19"/>
              </w:rPr>
              <w:t>模型能力与控制源</w:t>
            </w:r>
          </w:p>
        </w:tc>
        <w:tc>
          <w:tcPr>
            <w:tcW w:type="dxa" w:w="2891"/>
            <w:vAlign w:val="center"/>
            <w:shd w:fill="F4F6F8"/>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before="0" w:line="269" w:lineRule="auto"/>
            </w:pPr>
            <w:r>
              <w:rPr>
                <w:b w:val="0"/>
                <w:color w:val="000000"/>
                <w:sz w:val="19"/>
              </w:rPr>
              <w:t>模型交付方、3.6负责人</w:t>
            </w:r>
          </w:p>
        </w:tc>
        <w:tc>
          <w:tcPr>
            <w:tcW w:type="dxa" w:w="4082"/>
            <w:vAlign w:val="center"/>
            <w:shd w:fill="F4F6F8"/>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before="0" w:line="269" w:lineRule="auto"/>
            </w:pPr>
            <w:r>
              <w:rPr>
                <w:b w:val="0"/>
                <w:color w:val="000000"/>
                <w:sz w:val="19"/>
              </w:rPr>
              <w:t>hil_contract.json、输入探针、执行器与安全值表</w:t>
            </w:r>
          </w:p>
        </w:tc>
      </w:tr>
      <w:tr>
        <w:trPr>
          <w:cantSplit/>
        </w:trPr>
        <w:tc>
          <w:tcPr>
            <w:tcW w:type="dxa" w:w="2835"/>
            <w:vAlign w:val="cente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before="0" w:line="269" w:lineRule="auto"/>
            </w:pPr>
            <w:r>
              <w:rPr>
                <w:b w:val="0"/>
                <w:color w:val="000000"/>
                <w:sz w:val="19"/>
              </w:rPr>
              <w:t>通道资源与接线</w:t>
            </w:r>
          </w:p>
        </w:tc>
        <w:tc>
          <w:tcPr>
            <w:tcW w:type="dxa" w:w="2891"/>
            <w:vAlign w:val="cente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before="0" w:line="269" w:lineRule="auto"/>
            </w:pPr>
            <w:r>
              <w:rPr>
                <w:b w:val="0"/>
                <w:color w:val="000000"/>
                <w:sz w:val="19"/>
              </w:rPr>
              <w:t>3.3/3.4/3.6硬件方</w:t>
            </w:r>
          </w:p>
        </w:tc>
        <w:tc>
          <w:tcPr>
            <w:tcW w:type="dxa" w:w="4082"/>
            <w:vAlign w:val="cente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before="0" w:line="269" w:lineRule="auto"/>
            </w:pPr>
            <w:r>
              <w:rPr>
                <w:b w:val="0"/>
                <w:color w:val="000000"/>
                <w:sz w:val="19"/>
              </w:rPr>
              <w:t>共享/独占资源表、航插/引脚/地线/终端图</w:t>
            </w:r>
          </w:p>
        </w:tc>
      </w:tr>
      <w:tr>
        <w:trPr>
          <w:cantSplit/>
        </w:trPr>
        <w:tc>
          <w:tcPr>
            <w:tcW w:type="dxa" w:w="2835"/>
            <w:vAlign w:val="center"/>
            <w:shd w:fill="F4F6F8"/>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before="0" w:after="40" w:line="269" w:lineRule="auto"/>
            </w:pPr>
            <w:r>
              <w:rPr>
                <w:color w:val="000000"/>
                <w:sz w:val="19"/>
              </w:rPr>
              <w:t>驱动和实际操作系统</w:t>
            </w:r>
          </w:p>
        </w:tc>
        <w:tc>
          <w:tcPr>
            <w:tcW w:type="dxa" w:w="2891"/>
            <w:vAlign w:val="center"/>
            <w:shd w:fill="F4F6F8"/>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before="0" w:after="40" w:line="269" w:lineRule="auto"/>
            </w:pPr>
            <w:r>
              <w:rPr>
                <w:color w:val="000000"/>
                <w:sz w:val="19"/>
              </w:rPr>
              <w:t>设备供应方、部署方</w:t>
            </w:r>
          </w:p>
        </w:tc>
        <w:tc>
          <w:tcPr>
            <w:tcW w:type="dxa" w:w="4082"/>
            <w:vAlign w:val="center"/>
            <w:shd w:fill="F4F6F8"/>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before="0" w:after="40" w:line="269" w:lineRule="auto"/>
            </w:pPr>
            <w:r>
              <w:rPr>
                <w:color w:val="000000"/>
                <w:sz w:val="19"/>
              </w:rPr>
              <w:t>阶段D驱动/正式链路验证及发布包哈希；替换阶段不得新增适配开发</w:t>
            </w:r>
          </w:p>
        </w:tc>
      </w:tr>
      <w:tr>
        <w:trPr>
          <w:cantSplit/>
        </w:trPr>
        <w:tc>
          <w:tcPr>
            <w:tcW w:type="dxa" w:w="2835"/>
            <w:vAlign w:val="cente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before="0" w:line="269" w:lineRule="auto"/>
            </w:pPr>
            <w:r>
              <w:rPr>
                <w:b w:val="0"/>
                <w:color w:val="000000"/>
                <w:sz w:val="19"/>
              </w:rPr>
              <w:t>时钟与性能阈值</w:t>
            </w:r>
          </w:p>
        </w:tc>
        <w:tc>
          <w:tcPr>
            <w:tcW w:type="dxa" w:w="2891"/>
            <w:vAlign w:val="cente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before="0" w:line="269" w:lineRule="auto"/>
            </w:pPr>
            <w:r>
              <w:rPr>
                <w:b w:val="0"/>
                <w:color w:val="000000"/>
                <w:sz w:val="19"/>
              </w:rPr>
              <w:t>各系统负责人、买方验收方</w:t>
            </w:r>
          </w:p>
        </w:tc>
        <w:tc>
          <w:tcPr>
            <w:tcW w:type="dxa" w:w="4082"/>
            <w:vAlign w:val="cente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before="0" w:line="269" w:lineRule="auto"/>
            </w:pPr>
            <w:r>
              <w:rPr>
                <w:b w:val="0"/>
                <w:color w:val="000000"/>
                <w:sz w:val="19"/>
              </w:rPr>
              <w:t>端点、时间域、窗口、负载、阈值和测量方法</w:t>
            </w:r>
          </w:p>
        </w:tc>
      </w:tr>
      <w:tr>
        <w:trPr>
          <w:cantSplit/>
        </w:trPr>
        <w:tc>
          <w:tcPr>
            <w:tcW w:type="dxa" w:w="2835"/>
            <w:vAlign w:val="center"/>
            <w:shd w:fill="F4F6F8"/>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before="0" w:line="269" w:lineRule="auto"/>
            </w:pPr>
            <w:r>
              <w:rPr>
                <w:b w:val="0"/>
                <w:color w:val="000000"/>
                <w:sz w:val="19"/>
              </w:rPr>
              <w:t>视频与地面站接口</w:t>
            </w:r>
          </w:p>
        </w:tc>
        <w:tc>
          <w:tcPr>
            <w:tcW w:type="dxa" w:w="2891"/>
            <w:vAlign w:val="center"/>
            <w:shd w:fill="F4F6F8"/>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before="0" w:line="269" w:lineRule="auto"/>
            </w:pPr>
            <w:r>
              <w:rPr>
                <w:b w:val="0"/>
                <w:color w:val="000000"/>
                <w:sz w:val="19"/>
              </w:rPr>
              <w:t>图像方、买方地面站方</w:t>
            </w:r>
          </w:p>
        </w:tc>
        <w:tc>
          <w:tcPr>
            <w:tcW w:type="dxa" w:w="4082"/>
            <w:vAlign w:val="center"/>
            <w:shd w:fill="F4F6F8"/>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before="0" w:line="269" w:lineRule="auto"/>
            </w:pPr>
            <w:r>
              <w:rPr>
                <w:b w:val="0"/>
                <w:color w:val="000000"/>
                <w:sz w:val="19"/>
              </w:rPr>
              <w:t>视频协议/标注/触发与任务反馈接口说明</w:t>
            </w:r>
          </w:p>
        </w:tc>
      </w:tr>
      <w:tr>
        <w:trPr>
          <w:cantSplit/>
        </w:trPr>
        <w:tc>
          <w:tcPr>
            <w:tcW w:type="dxa" w:w="2835"/>
            <w:vAlign w:val="cente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before="0" w:line="269" w:lineRule="auto"/>
            </w:pPr>
            <w:r>
              <w:rPr>
                <w:b w:val="0"/>
                <w:color w:val="000000"/>
                <w:sz w:val="19"/>
              </w:rPr>
              <w:t>标书技术路线差异</w:t>
            </w:r>
          </w:p>
        </w:tc>
        <w:tc>
          <w:tcPr>
            <w:tcW w:type="dxa" w:w="2891"/>
            <w:vAlign w:val="cente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before="0" w:line="269" w:lineRule="auto"/>
            </w:pPr>
            <w:r>
              <w:rPr>
                <w:b w:val="0"/>
                <w:color w:val="000000"/>
                <w:sz w:val="19"/>
              </w:rPr>
              <w:t>项目技术负责人、买方</w:t>
            </w:r>
          </w:p>
        </w:tc>
        <w:tc>
          <w:tcPr>
            <w:tcW w:type="dxa" w:w="4082"/>
            <w:vAlign w:val="cente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before="0" w:line="269" w:lineRule="auto"/>
            </w:pPr>
            <w:r>
              <w:rPr>
                <w:b w:val="0"/>
                <w:color w:val="000000"/>
                <w:sz w:val="19"/>
              </w:rPr>
              <w:t>已批准技术基线或差异处理记录</w:t>
            </w:r>
          </w:p>
        </w:tc>
      </w:tr>
      <w:tr>
        <w:trPr>
          <w:cantSplit/>
        </w:trPr>
        <w:tc>
          <w:tcPr>
            <w:tcW w:type="dxa" w:w="2835"/>
            <w:vAlign w:val="center"/>
            <w:shd w:fill="F4F6F8"/>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before="0" w:line="269" w:lineRule="auto"/>
            </w:pPr>
            <w:r>
              <w:rPr>
                <w:b w:val="0"/>
                <w:color w:val="000000"/>
                <w:sz w:val="19"/>
              </w:rPr>
              <w:t>阶段范围与终验</w:t>
            </w:r>
          </w:p>
        </w:tc>
        <w:tc>
          <w:tcPr>
            <w:tcW w:type="dxa" w:w="2891"/>
            <w:vAlign w:val="center"/>
            <w:shd w:fill="F4F6F8"/>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before="0" w:line="269" w:lineRule="auto"/>
            </w:pPr>
            <w:r>
              <w:rPr>
                <w:b w:val="0"/>
                <w:color w:val="000000"/>
                <w:sz w:val="19"/>
              </w:rPr>
              <w:t>项目负责人、买方</w:t>
            </w:r>
          </w:p>
        </w:tc>
        <w:tc>
          <w:tcPr>
            <w:tcW w:type="dxa" w:w="4082"/>
            <w:vAlign w:val="center"/>
            <w:shd w:fill="F4F6F8"/>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before="0" w:line="269" w:lineRule="auto"/>
            </w:pPr>
            <w:r>
              <w:rPr>
                <w:b w:val="0"/>
                <w:color w:val="000000"/>
                <w:sz w:val="19"/>
              </w:rPr>
              <w:t>验收大纲、模拟验证与硬件验证责任矩阵</w:t>
            </w:r>
          </w:p>
        </w:tc>
      </w:tr>
    </w:tbl>
    <w:p/>
    <w:p>
      <w:pPr>
        <w:widowControl/>
      </w:pPr>
      <w:r>
        <w:t>正式ICD及确认清单未关闭时，仅可开展明确标记的内部探索；不能将样例作为正式协议或登记平滑替换通过。若确需改变正式ICD，应另行共同签署新版本并同步升级三方、重新形成基线；这属于版本变更，不属于原基线仅配置替换。</w:t>
      </w:r>
    </w:p>
    <w:p>
      <w:pPr>
        <w:pStyle w:val="3"/>
        <w:keepNext/>
        <w:rPr>
          <w:rFonts w:hint="eastAsia" w:ascii="微软雅黑" w:hAnsi="微软雅黑" w:eastAsia="微软雅黑" w:cs="微软雅黑"/>
        </w:rPr>
      </w:pPr>
      <w:r>
        <w:rPr>
          <w:rFonts w:hint="eastAsia" w:ascii="微软雅黑" w:hAnsi="微软雅黑" w:eastAsia="微软雅黑" w:cs="微软雅黑"/>
          <w:color w:val="000000"/>
        </w:rPr>
        <w:t>12. 结论</w:t>
      </w:r>
    </w:p>
    <w:p>
      <w:pPr>
        <w:widowControl/>
        <w:rPr>
          <w:rFonts w:hint="eastAsia" w:ascii="微软雅黑" w:hAnsi="微软雅黑" w:eastAsia="微软雅黑" w:cs="微软雅黑"/>
        </w:rPr>
      </w:pPr>
      <w:r>
        <w:t>开发阶段由模拟器临时承担共同冻结接口范围内的3.3输出职责。模拟器与未来真实3.3使用同一正式ICD，3.6只识别标准接口，不按模拟或真实身份改变业务处理。正式链路和3.6发布基线提前完成验证后，真实3.3仅通过部署与授权配置切换替换模拟器。</w:t>
      </w:r>
    </w:p>
    <w:p>
      <w:pPr>
        <w:widowControl/>
        <w:rPr>
          <w:rFonts w:hint="eastAsia" w:ascii="微软雅黑" w:hAnsi="微软雅黑" w:eastAsia="微软雅黑" w:cs="微软雅黑"/>
        </w:rPr>
      </w:pPr>
      <w:r>
        <w:t>模拟器按第9章三类输入资源处理规则生成激励，经各自正式链路进入3.6同一标准接入及冻结映射，验证接收、实际应用和响应反馈。图示、工具安装和发送计数都不能代替贯通证据。替换不得修改3.6代码、协议定义或业务映射，必须通过同版全部必选L/T用例。软件验证仍不替代物理接口和整系统终验。</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5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858" w:type="dxa"/>
            <w:shd w:val="clear" w:color="auto" w:fill="E2F0D9"/>
          </w:tcPr>
          <w:p>
            <w:pPr>
              <w:spacing w:before="0" w:after="40" w:line="269" w:lineRule="auto"/>
            </w:pPr>
            <w:r>
              <w:rPr>
                <w:color w:val="000000"/>
                <w:sz w:val="19"/>
              </w:rPr>
              <w:t>最终原则：同一正式ICD、统一标准接入、来源业务透明、仅白名单配置替换；3.6接收解析、模型映射、反馈、安全和业务代码不变。符合性、正式链路及同场景回归全部通过后，才认定平滑替换通过。</w:t>
            </w:r>
          </w:p>
        </w:tc>
      </w:tr>
    </w:tbl>
    <w:p>
      <w:pPr>
        <w:pStyle w:val="4"/>
        <w:keepNext/>
      </w:pPr>
      <w:r>
        <w:rPr>
          <w:color w:val="000000"/>
        </w:rPr>
        <w:t>12.1 实施建议</w:t>
      </w:r>
    </w:p>
    <w:p>
      <w:pPr>
        <w:widowControl/>
      </w:pPr>
      <w:r>
        <w:t>优先交付冻结ICD子集的双向最小系统，再扩展到全部必选正式消息与链路。实时核心之外实现场景、传输、标准接入、反馈和视频服务；阶段D完成驱动与模型映射并冻结，阶段E仅配置替换和验证，不再开展接入适配开发。</w:t>
      </w:r>
    </w:p>
    <w:p>
      <w:pPr>
        <w:widowControl/>
      </w:pPr>
      <w:r>
        <w:t>交付内容应同时包含程序与配置、冻结契约、覆盖矩阵、依赖锁定、场景库、部署手册、原始证据和差异清单。模型及板卡供应方配合关闭接口与实时指标；模拟器承担开发联调角色，3.3整系统与3.6实体能力继续按标书交付。</w:t>
      </w:r>
    </w:p>
    <w:p>
      <w:pPr>
        <w:pStyle w:val="4"/>
        <w:keepNext/>
      </w:pPr>
      <w:r>
        <w:rPr>
          <w:color w:val="000000"/>
        </w:rPr>
        <w:t>附录A 文件依据与技术资料</w:t>
      </w:r>
    </w:p>
    <w:p>
      <w:pPr>
        <w:widowControl/>
      </w:pPr>
      <w:r>
        <w:t>S1 开放架构投标文件方案 - 项目文档 - 20260629.docx：需求分析中的设备交付/功能要求与硬件规格表；设计方案中的综合测试、总线测试、硬件在环仿真及系统交互。R01～R17以对应标题和表格设备名称定位。</w:t>
      </w:r>
    </w:p>
    <w:p>
      <w:pPr>
        <w:widowControl/>
      </w:pPr>
      <w:r>
        <w:t>S2 3.6系统输入数据模拟与3.3替代方案(1).docx：原十二章、原工具组合图与平台架构图。本版保留六条原工具分支、自动化层及3.6平台节点；仅纠正资源关系、补充正式接入与证据，并给出修改分类和工具复用评估。</w:t>
      </w:r>
    </w:p>
    <w:p>
      <w:pPr>
        <w:widowControl/>
      </w:pPr>
      <w:r>
        <w:t>S3 当前hil_simulation仓库：README.md、config.yaml、config/target-toolchain.json、c_core/src/main_rt.c、c_core/src/local_udp.c、c_core/src/control_arbiter.c、python_services/hil_adapters/physical_uut.py和virtual_quad_fc.py。代码能力说明属于静态核对，不替代目标环境实测。</w:t>
      </w:r>
    </w:p>
    <w:p>
      <w:pPr>
        <w:widowControl/>
        <w:spacing w:after="80" w:line="269" w:lineRule="auto"/>
      </w:pPr>
      <w:r>
        <w:rPr>
          <w:sz w:val="19"/>
        </w:rPr>
        <w:t>T1 Linux SocketCAN与vcan：https://kernel.org/doc/html/v6.12/networking/can.html</w:t>
      </w:r>
    </w:p>
    <w:p>
      <w:pPr>
        <w:widowControl/>
        <w:spacing w:after="80" w:line="269" w:lineRule="auto"/>
      </w:pPr>
      <w:r>
        <w:rPr>
          <w:sz w:val="19"/>
        </w:rPr>
        <w:t>T2 python-can依赖与SocketCAN周期发送：https://pypi.org/project/python-can/；https://python-can.readthedocs.io/en/stable/interfaces/socketcan.html</w:t>
      </w:r>
    </w:p>
    <w:p>
      <w:pPr>
        <w:widowControl/>
        <w:spacing w:after="80" w:line="269" w:lineRule="auto"/>
      </w:pPr>
      <w:r>
        <w:rPr>
          <w:sz w:val="19"/>
        </w:rPr>
        <w:t>T3 cantools依赖与数据库格式：https://pypi.org/project/cantools/；https://cantools.readthedocs.io/en/stable/</w:t>
      </w:r>
    </w:p>
    <w:p>
      <w:pPr>
        <w:widowControl/>
        <w:spacing w:after="80" w:line="269" w:lineRule="auto"/>
      </w:pPr>
      <w:r>
        <w:rPr>
          <w:sz w:val="19"/>
        </w:rPr>
        <w:t>T4 Tcpreplay回放与TCP会话边界：https://tcpreplay.appneta.com/faq/；https://tcpreplay.appneta.com/concepts/replay-model/</w:t>
      </w:r>
    </w:p>
    <w:p>
      <w:pPr>
        <w:widowControl/>
        <w:spacing w:after="80" w:line="269" w:lineRule="auto"/>
      </w:pPr>
      <w:r>
        <w:rPr>
          <w:sz w:val="19"/>
        </w:rPr>
        <w:t>T5 CAN物理CRC故障注入：https://support.vector.com/kb/?id=kb_article_view&amp;sysparm_article=KB0023593</w:t>
      </w:r>
    </w:p>
    <w:p>
      <w:pPr>
        <w:spacing w:after="80" w:line="269" w:lineRule="auto"/>
      </w:pPr>
      <w:r>
        <w:rPr>
          <w:sz w:val="19"/>
        </w:rPr>
        <w:t>T6 can-utils官方工具职责：https://github.com/linux-can/can-utils；canplayer用于CAN日志回放。</w:t>
      </w:r>
    </w:p>
    <w:p>
      <w:pPr>
        <w:spacing w:after="80" w:line="269" w:lineRule="auto"/>
      </w:pPr>
      <w:r>
        <w:rPr>
          <w:sz w:val="19"/>
        </w:rPr>
        <w:t>T7 SavvyCAN官方工具说明：https://www.savvycan.com/；Qt后端、设备和CANFD支持以锁定版本测试为准。</w:t>
      </w:r>
    </w:p>
    <w:p>
      <w:pPr>
        <w:spacing w:after="80" w:line="269" w:lineRule="auto"/>
      </w:pPr>
      <w:r>
        <w:rPr>
          <w:sz w:val="19"/>
        </w:rPr>
        <w:t>T8 Ostinato官方文档与自动化接口：https://ostinato.org/docs/；https://apiguide.ostinato.org/。</w:t>
      </w:r>
    </w:p>
    <w:p>
      <w:pPr>
        <w:spacing w:after="80" w:line="269" w:lineRule="auto"/>
      </w:pPr>
      <w:r>
        <w:rPr>
          <w:sz w:val="19"/>
        </w:rPr>
        <w:t>T9 Scapy官方收发与构包文档：https://scapy.readthedocs.io/en/latest/usage.html；https://scapy.readthedocs.io/en/latest/layers/tcp.html。</w:t>
      </w:r>
    </w:p>
    <w:p>
      <w:pPr>
        <w:spacing w:after="80" w:line="269" w:lineRule="auto"/>
      </w:pPr>
      <w:r>
        <w:rPr>
          <w:sz w:val="19"/>
        </w:rPr>
        <w:t>T10 Robot Framework官方用户指南：https://robotframework.org/robotframework/latest/RobotFrameworkUserGuide.html。</w:t>
      </w:r>
    </w:p>
    <w:sectPr>
      <w:headerReference r:id="rId5" w:type="default"/>
      <w:footerReference r:id="rId6" w:type="default"/>
      <w:pgSz w:w="12240" w:h="15840"/>
      <w:pgMar w:top="1077" w:right="1191" w:bottom="1020" w:left="119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auto"/>
    <w:pitch w:val="default"/>
    <w:sig w:usb0="E1002EFF" w:usb1="C000605B" w:usb2="00000029" w:usb3="00000000" w:csb0="200101FF" w:csb1="20280000"/>
  </w:font>
  <w:font w:name="Courier New">
    <w:panose1 w:val="02070309020205020404"/>
    <w:charset w:val="00"/>
    <w:family w:val="auto"/>
    <w:pitch w:val="default"/>
    <w:sig w:usb0="E0002EFF" w:usb1="C0007843" w:usb2="00000009" w:usb3="00000000" w:csb0="400001FF" w:csb1="FFFF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4"/>
      <w:jc w:val="center"/>
    </w:pPr>
    <w:r>
      <w:rPr>
        <w:rFonts w:ascii="微软雅黑" w:hAnsi="微软雅黑" w:eastAsia="微软雅黑"/>
        <w:color w:val="787878"/>
        <w:sz w:val="17"/>
      </w:rPr>
      <w:t xml:space="preserve">第 </w:t>
    </w:r>
    <w:r>
      <w:fldChar w:fldCharType="begin"/>
    </w:r>
    <w:r>
      <w:instrText xml:space="preserve">PAGE</w:instrText>
    </w:r>
    <w:r>
      <w:fldChar w:fldCharType="separate"/>
    </w:r>
    <w:r>
      <w:fldChar w:fldCharType="end"/>
    </w:r>
    <w:r>
      <w:rPr>
        <w:rFonts w:ascii="微软雅黑" w:hAnsi="微软雅黑" w:eastAsia="微软雅黑"/>
        <w:color w:val="787878"/>
        <w:sz w:val="17"/>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5"/>
      <w:jc w:val="right"/>
    </w:pPr>
    <w:r>
      <w:rPr>
        <w:rFonts w:ascii="微软雅黑" w:hAnsi="微软雅黑" w:eastAsia="微软雅黑"/>
        <w:color w:val="787878"/>
        <w:sz w:val="17"/>
      </w:rPr>
      <w:t>无人机仿真平台 - 3.6系统输入数据模拟与3.3替代方案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2605139"/>
    <w:multiLevelType w:val="singleLevel"/>
    <w:tmpl w:val="C2605139"/>
    <w:lvl w:ilvl="0" w:tentative="0">
      <w:start w:val="9"/>
      <w:numFmt w:val="decimal"/>
      <w:suff w:val="space"/>
      <w:lvlText w:val="%1."/>
      <w:lvlJc w:val="left"/>
    </w:lvl>
  </w:abstractNum>
  <w:abstractNum w:abstractNumId="1">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2"/>
  </w:num>
  <w:num w:numId="2">
    <w:abstractNumId w:val="5"/>
  </w:num>
  <w:num w:numId="3">
    <w:abstractNumId w:val="6"/>
  </w:num>
  <w:num w:numId="4">
    <w:abstractNumId w:val="3"/>
  </w:num>
  <w:num w:numId="5">
    <w:abstractNumId w:val="1"/>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64020CA"/>
    <w:rsid w:val="1B7F6EF9"/>
    <w:rsid w:val="2888064C"/>
    <w:rsid w:val="37BE771C"/>
    <w:rsid w:val="396F4FF6"/>
    <w:rsid w:val="609C59BC"/>
    <w:rsid w:val="6D0A3EB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qFormat="1" w:unhideWhenUsed="0" w:uiPriority="61" w:semiHidden="0" w:name="Light List Accent 4"/>
    <w:lsdException w:unhideWhenUsed="0" w:uiPriority="62" w:semiHidden="0" w:name="Light Grid Accent 4"/>
    <w:lsdException w:qFormat="1" w:unhideWhenUsed="0" w:uiPriority="63" w:semiHidden="0" w:name="Medium Shading 1 Accent 4"/>
    <w:lsdException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20" w:line="312" w:lineRule="auto"/>
    </w:pPr>
    <w:rPr>
      <w:rFonts w:ascii="微软雅黑" w:hAnsi="微软雅黑" w:eastAsia="微软雅黑" w:cstheme="minorBidi"/>
      <w:color w:val="000000"/>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000000"/>
      <w:sz w:val="32"/>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000000"/>
      <w:sz w:val="26"/>
      <w:szCs w:val="26"/>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14:textFill>
        <w14:solidFill>
          <w14:schemeClr w14:val="accent1"/>
        </w14:solidFill>
      </w14:textFill>
      <w:color w:val="000000"/>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spacing w:after="300" w:line="240" w:lineRule="auto"/>
      <w:contextualSpacing/>
    </w:pPr>
    <w:rPr>
      <w:rFonts w:asciiTheme="majorHAnsi" w:hAnsiTheme="majorHAnsi" w:eastAsiaTheme="majorEastAsia" w:cstheme="majorBidi"/>
      <w:b/>
      <w:color w:val="000000"/>
      <w:spacing w:val="5"/>
      <w:kern w:val="28"/>
      <w:sz w:val="48"/>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2.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TotalTime>
  <ScaleCrop>false</ScaleCrop>
  <LinksUpToDate>false</LinksUpToDate>
  <CharactersWithSpaces>0</CharactersWithSpaces>
  <Application>WPS Office_11.8.2.10154_F1E327BC-269C-435d-A152-05C5408002CA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吕宁</cp:lastModifiedBy>
  <dcterms:modified xsi:type="dcterms:W3CDTF">2026-09-30T08:08:11Z</dcterms:modified>
  <cp:revision>1</cp:revision>
  <cp:version>1.4</cp:version>
  <dc:subject>保留原工具链的正式接口替代方案与条件化选型评估</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2052-11.8.2.10154</vt:lpwstr>
  </property>
</Properties>
</file>