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afrwox97m0e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Brain-Computer Interface (BCI) Implantation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7oidmc76er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What Could Cause Damage in Brain Neurons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Physical causes</w:t>
      </w:r>
      <w:r w:rsidDel="00000000" w:rsidR="00000000" w:rsidRPr="00000000">
        <w:rPr>
          <w:rtl w:val="0"/>
        </w:rPr>
        <w:t xml:space="preserve">: traumatic brain injury, stroke, radiation, surgery.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Biological causes</w:t>
      </w:r>
      <w:r w:rsidDel="00000000" w:rsidR="00000000" w:rsidRPr="00000000">
        <w:rPr>
          <w:rtl w:val="0"/>
        </w:rPr>
        <w:t xml:space="preserve">: neurodegenerative diseases (Alzheimer’s, Parkinson’s, ALS), infections (encephalitis, meningitis), epilepsy.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Chemical/Metabolic causes</w:t>
      </w:r>
      <w:r w:rsidDel="00000000" w:rsidR="00000000" w:rsidRPr="00000000">
        <w:rPr>
          <w:rtl w:val="0"/>
        </w:rPr>
        <w:t xml:space="preserve">: hypoxia (lack of oxygen), vitamin deficiencies, drug/alcohol abuse, heavy metal poisoning.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Lifestyle/Environmental factors</w:t>
      </w:r>
      <w:r w:rsidDel="00000000" w:rsidR="00000000" w:rsidRPr="00000000">
        <w:rPr>
          <w:rtl w:val="0"/>
        </w:rPr>
        <w:t xml:space="preserve">: chronic stress, poor sleep, smoking.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Genetic/Aging</w:t>
      </w:r>
      <w:r w:rsidDel="00000000" w:rsidR="00000000" w:rsidRPr="00000000">
        <w:rPr>
          <w:rtl w:val="0"/>
        </w:rPr>
        <w:t xml:space="preserve">: inherited disorders, natural decline with age.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7caqw1o3j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How Many Signals Does a Neuron Produce in the Human Brain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Single neuron firing rate</w:t>
      </w:r>
      <w:r w:rsidDel="00000000" w:rsidR="00000000" w:rsidRPr="00000000">
        <w:rPr>
          <w:rtl w:val="0"/>
        </w:rPr>
        <w:t xml:space="preserve">: 5–50 times/second on average; up to 100–200 Hz, rarely &gt;500 Hz.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neurons</w:t>
      </w:r>
      <w:r w:rsidDel="00000000" w:rsidR="00000000" w:rsidRPr="00000000">
        <w:rPr>
          <w:rtl w:val="0"/>
        </w:rPr>
        <w:t xml:space="preserve">: ~86 billion.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Estimated total signals</w:t>
      </w:r>
      <w:r w:rsidDel="00000000" w:rsidR="00000000" w:rsidRPr="00000000">
        <w:rPr>
          <w:rtl w:val="0"/>
        </w:rPr>
        <w:t xml:space="preserve">: ~860 billion–trillions of action potentials per second.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6o4ynffgtai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How Surgery Can Happen and Under What ConditionsZ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: neurosurgeon performs craniotomy, places electrode arrays (ECoG or Utah arrays) on/into motor cortex, connects to chip, closes skull.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Conditions for surgery</w:t>
      </w:r>
      <w:r w:rsidDel="00000000" w:rsidR="00000000" w:rsidRPr="00000000">
        <w:rPr>
          <w:rtl w:val="0"/>
        </w:rPr>
        <w:t xml:space="preserve">: severe paralysis, intact motor cortex, patient is stable enough for surgery, informed consent, non-invasive methods not sufficient.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Risks</w:t>
      </w:r>
      <w:r w:rsidDel="00000000" w:rsidR="00000000" w:rsidRPr="00000000">
        <w:rPr>
          <w:rtl w:val="0"/>
        </w:rPr>
        <w:t xml:space="preserve">: infection, bleeding, scar tissue, seizures, cybersecurity threats.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h81ua1f767h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Non-Invasive BCIs (EEG-Based)</w:t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EEG electrodes on scalp</w:t>
      </w:r>
      <w:r w:rsidDel="00000000" w:rsidR="00000000" w:rsidRPr="00000000">
        <w:rPr>
          <w:rtl w:val="0"/>
        </w:rPr>
        <w:t xml:space="preserve"> detect brainwave activity.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Signal types</w:t>
      </w:r>
      <w:r w:rsidDel="00000000" w:rsidR="00000000" w:rsidRPr="00000000">
        <w:rPr>
          <w:rtl w:val="0"/>
        </w:rPr>
        <w:t xml:space="preserve">: Motor Imagery, P300 responses, SSVEP.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 non-surgical, safe, low-cost, portable.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Limitations</w:t>
      </w:r>
      <w:r w:rsidDel="00000000" w:rsidR="00000000" w:rsidRPr="00000000">
        <w:rPr>
          <w:rtl w:val="0"/>
        </w:rPr>
        <w:t xml:space="preserve">: low spatial resolution, noise, slower and less precise, training required.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Applications</w:t>
      </w:r>
      <w:r w:rsidDel="00000000" w:rsidR="00000000" w:rsidRPr="00000000">
        <w:rPr>
          <w:rtl w:val="0"/>
        </w:rPr>
        <w:t xml:space="preserve">: medical rehab, neurofeedback therapy, assistive tech, gaming/VR.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36kn5uvp8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Implanting the Chip in the Brain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va85f43ql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Step-by-Step: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Pre-surgical assessment with imaging.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Anesthesia and head stabilization.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Craniotomy (open skull, expose cortex).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Place electrodes (ECoG on surface or Utah array penetrating).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to chip and secure.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 dura/skull/skin.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Post-op monitoring and system calibration.</w:t>
        <w:br w:type="textWrapping"/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gi2q3gozhq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Conditions: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Severe motor disability with intact cortex.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Patient health sufficient for neurosurgery.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Ethical approval and consent.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3nw6bxnavvv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Electrodes Needed, Quantity, and Placement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ECoG grids (surface, safer, stable).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Utah arrays (penetrating, higher precision, riskier).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: ~64–128 electrodes sufficient for motor imagery decoding.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Placement</w:t>
      </w:r>
      <w:r w:rsidDel="00000000" w:rsidR="00000000" w:rsidRPr="00000000">
        <w:rPr>
          <w:rtl w:val="0"/>
        </w:rPr>
        <w:t xml:space="preserve">: over motor cortex (hand/arm area on precentral gyrus).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Recovery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Hospital stay: 3–7 days.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Wound healing: 2–4 weeks.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Functional training: 3–6 months.</w:t>
        <w:br w:type="textWrapping"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jngie7nhfk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Suitable Ages &amp; Reasons Preventing Implantation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Adults 18–65: best candidates.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65: possible but higher risk.</w:t>
        <w:br w:type="textWrapping"/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&lt;18: rarely done (ethical, developmental concerns).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Reasons Preventing Implantation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Medical: infections, blood disorders, systemic illness.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Neurological: destroyed motor cortex, severe cognitive impairment.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Technical: when non-invasive methods suffice, electrode durability issues.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Ethical/Legal: lack of consent, experimental status.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vn29veelpny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Causes of Paralysis That Can Be Fixed by BCI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Spinal Cord Injury (SCI)</w:t>
      </w:r>
      <w:r w:rsidDel="00000000" w:rsidR="00000000" w:rsidRPr="00000000">
        <w:rPr>
          <w:rtl w:val="0"/>
        </w:rPr>
        <w:t xml:space="preserve">: intact brain but disconnected pathways.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Stroke</w:t>
      </w:r>
      <w:r w:rsidDel="00000000" w:rsidR="00000000" w:rsidRPr="00000000">
        <w:rPr>
          <w:rtl w:val="0"/>
        </w:rPr>
        <w:t xml:space="preserve">: motor cortex intact but damaged pathways.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ALS</w:t>
      </w:r>
      <w:r w:rsidDel="00000000" w:rsidR="00000000" w:rsidRPr="00000000">
        <w:rPr>
          <w:rtl w:val="0"/>
        </w:rPr>
        <w:t xml:space="preserve">: brain works, muscles fail.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Locked-In Syndrome</w:t>
      </w:r>
      <w:r w:rsidDel="00000000" w:rsidR="00000000" w:rsidRPr="00000000">
        <w:rPr>
          <w:rtl w:val="0"/>
        </w:rPr>
        <w:t xml:space="preserve">: brain intact, brainstem damaged.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Multiple Sclerosis</w:t>
      </w:r>
      <w:r w:rsidDel="00000000" w:rsidR="00000000" w:rsidRPr="00000000">
        <w:rPr>
          <w:rtl w:val="0"/>
        </w:rPr>
        <w:t xml:space="preserve">: demyelination blocks signals (early/mid-stage).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 suitable</w:t>
      </w:r>
      <w:r w:rsidDel="00000000" w:rsidR="00000000" w:rsidRPr="00000000">
        <w:rPr>
          <w:rtl w:val="0"/>
        </w:rPr>
        <w:t xml:space="preserve">: destroyed motor cortex, advanced dementia, total muscle/nerve destruction.</w:t>
        <w:br w:type="textWrapping"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j22ibftg0ul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9. How the Chip Reconnects Brain → Movement (Thought → Movement Loop)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Motor cortex generates signal.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Electrodes capture it.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chip decodes into specific command.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sent to: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Prosthetics/Robotics</w:t>
      </w:r>
      <w:r w:rsidDel="00000000" w:rsidR="00000000" w:rsidRPr="00000000">
        <w:rPr>
          <w:rtl w:val="0"/>
        </w:rPr>
        <w:t xml:space="preserve"> (external devices), or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FES (Functional Electrical Stimulation)</w:t>
      </w:r>
      <w:r w:rsidDel="00000000" w:rsidR="00000000" w:rsidRPr="00000000">
        <w:rPr>
          <w:rtl w:val="0"/>
        </w:rPr>
        <w:t xml:space="preserve"> of patient’s own muscles.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Movement executed.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sensory feedback to brain.</w:t>
        <w:br w:type="textWrapping"/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fjt9qrd6ah6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10. Best Materials for Making the Chip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z0oryuii8a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Electrodes: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Pt/Ir standard.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IrOx for stimulation.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PEDOT:PSS for low impedance.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Graphene/CNT for research.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11rzem0s7w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Array Substrates: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Silicon (rigid, Utah arrays).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Flexible polymers (polyimide, Parylene).</w:t>
        <w:br w:type="textWrapping"/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9dagnbbndj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Cables &amp; Interconnects: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Polyimide flexible cables, gold traces, Parylene coatings.</w:t>
        <w:br w:type="textWrapping"/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3xowwfqtvsa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ASIC/Chip Housing: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Silicon die packaged in titanium hermetic can with ceramic feedthroughs.</w:t>
        <w:br w:type="textWrapping"/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1avinwrwrk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Encapsulation: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Parylene C + silicone overmold.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 anti-inflammatory drug-eluting coatings.</w:t>
        <w:br w:type="textWrapping"/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3298utbszn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Power/Telemetry: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Inductive wireless power.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MICS band wireless data with encryption.</w:t>
        <w:br w:type="textWrapping"/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09cr987sqh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Stack: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ECoG flexible grid (polyimide + Pt/Ir electrodes).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Titanium hermetic ASIC housing.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Parylene/silicone encapsulation.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64–128 electrode channels.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Inductive power + secure telemetry.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q4y56nngxc1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11. Recovery Timeline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Hospital monitoring: 3–7 days.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Initial healing: 2–4 weeks.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BCI training and calibration: weeks to months.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Functional use: ~3–6 months of rehab.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Long-term stability: ECoG arrays last longer, Utah arrays ~1–5 years.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