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41" w:rightFromText="141" w:vertAnchor="text" w:horzAnchor="page" w:tblpX="872" w:tblpY="-227"/>
        <w:tblW w:w="14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1068"/>
        <w:gridCol w:w="936"/>
        <w:gridCol w:w="1092"/>
        <w:gridCol w:w="792"/>
        <w:gridCol w:w="756"/>
        <w:gridCol w:w="744"/>
        <w:gridCol w:w="1008"/>
        <w:gridCol w:w="6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106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Covid-19 Natural Experiment</w:t>
            </w:r>
          </w:p>
        </w:tc>
        <w:tc>
          <w:tcPr>
            <w:tcW w:w="93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Country aggregate</w:t>
            </w:r>
          </w:p>
        </w:tc>
        <w:tc>
          <w:tcPr>
            <w:tcW w:w="10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Occupancy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792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</w:t>
            </w:r>
          </w:p>
        </w:tc>
        <w:tc>
          <w:tcPr>
            <w:tcW w:w="74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 Age</w:t>
            </w:r>
          </w:p>
        </w:tc>
        <w:tc>
          <w:tcPr>
            <w:tcW w:w="1008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Share of Foreigners</w:t>
            </w:r>
          </w:p>
        </w:tc>
        <w:tc>
          <w:tcPr>
            <w:tcW w:w="609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Study Conclusions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92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Boyko, Boyko, &amp; Boyko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(2007)</w:t>
            </w:r>
          </w:p>
        </w:tc>
        <w:tc>
          <w:tcPr>
            <w:tcW w:w="10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Indivdual referees give significant different responses to crowd noise and have significant different levels of home team bias.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Carron &amp; Agnew (1994)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 a positive relationship with crowd density and home advantage. But the explanatory power of crowd support effects is rather low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Courneya &amp; Carron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1992)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Crowd size is a significant predictor of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Endrich&amp; Gesche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There is a significant change in punishment for away teams in the situation of “ghost games”.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Fischer &amp; Haucap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Crowd occupancy is the main driver of differences in home advantage pre and post covid-19. Referee bias and absolute crowd size appear less important.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Mccarick et al(2020)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decreased significantly after covid-19, points and goals for home teams decreased. Also referee issued significantly fewer sanctions against away teams.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Nevill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shd w:val="clear" w:color="auto" w:fill="FBFBFB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Holder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BFBFB"/>
              </w:rPr>
              <w:t>(1999)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Referee bias is the most important component of crowd support effect on team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Pollard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(2006)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With differeng levels across countries and sports.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Pollard</w:t>
            </w:r>
            <w:r>
              <w:rPr>
                <w:rFonts w:hint="default" w:ascii="Times New Roman" w:hAnsi="Times New Roman" w:eastAsia="SimSun" w:cs="Times New Roman"/>
                <w:color w:val="000000"/>
                <w:sz w:val="18"/>
                <w:szCs w:val="18"/>
                <w:lang w:val="en-US" w:bidi="ar"/>
              </w:rPr>
              <w:t xml:space="preserve"> </w:t>
            </w:r>
            <w:r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bidi="ar"/>
              </w:rPr>
              <w:t>(2008)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Home advantage is a result of many different factors all interacting with each-other.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Ponzo &amp; Scoppa (2018)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still persists in derby matches, where familiarity and travel factors are mitigated. Supporting the notion of crowd support influencing home advantage.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Schwartz &amp; Barsky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1977)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Home advantage primarily sterns from crowd support. With stronger crowd support(occupancy/size) increasing home advantage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Van der Ven (2016)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Teams with a higher average age perform better in Away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SimSun" w:cs="Times New Roman"/>
                <w:color w:val="000000"/>
                <w:sz w:val="18"/>
                <w:szCs w:val="18"/>
                <w:lang w:val="en-GB" w:eastAsia="en-US" w:bidi="ar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Tilp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&amp;</w:t>
            </w: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Thaller  (2020)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i/>
                <w:iCs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B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Covid has turned home advantage into a home disadvantage in case of “ghost games”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GB"/>
              </w:rPr>
              <w:t>THIS PAPER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 w:eastAsiaTheme="minorHAnsi"/>
                <w:color w:val="000000"/>
                <w:sz w:val="28"/>
                <w:szCs w:val="28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ym w:font="Wingdings" w:char="00FC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</w:tr>
    </w:tbl>
    <w:p/>
    <w:p/>
    <w:p>
      <w:pPr>
        <w:sectPr>
          <w:pgSz w:w="16838" w:h="11906" w:orient="landscape"/>
          <w:pgMar w:top="1417" w:right="1417" w:bottom="1417" w:left="1417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p/>
    <w:tbl>
      <w:tblPr>
        <w:tblStyle w:val="10"/>
        <w:tblpPr w:leftFromText="141" w:rightFromText="141" w:vertAnchor="text" w:horzAnchor="margin" w:tblpX="1" w:tblpY="234"/>
        <w:tblW w:w="93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5"/>
        <w:gridCol w:w="708"/>
        <w:gridCol w:w="750"/>
        <w:gridCol w:w="870"/>
        <w:gridCol w:w="960"/>
        <w:gridCol w:w="975"/>
        <w:gridCol w:w="930"/>
        <w:gridCol w:w="720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73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7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Mean</w:t>
            </w:r>
          </w:p>
        </w:tc>
        <w:tc>
          <w:tcPr>
            <w:tcW w:w="75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Min</w:t>
            </w:r>
          </w:p>
        </w:tc>
        <w:tc>
          <w:tcPr>
            <w:tcW w:w="960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Pctl(25)</w:t>
            </w:r>
          </w:p>
        </w:tc>
        <w:tc>
          <w:tcPr>
            <w:tcW w:w="975" w:type="dxa"/>
            <w:tcBorders>
              <w:left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Median</w:t>
            </w:r>
          </w:p>
        </w:tc>
        <w:tc>
          <w:tcPr>
            <w:tcW w:w="93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Pctl(75)</w:t>
            </w:r>
          </w:p>
        </w:tc>
        <w:tc>
          <w:tcPr>
            <w:tcW w:w="72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Max</w:t>
            </w:r>
          </w:p>
        </w:tc>
        <w:tc>
          <w:tcPr>
            <w:tcW w:w="690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Goal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1.846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-13.00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0.365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2.571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Foreigners Share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0.213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-0.752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-0.139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-0.001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0.139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0.752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Age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1.573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-1.100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0.558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0.763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0.911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Average Attendance(1000’s)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24.18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18.03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10.51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19.23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35.19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81.17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Foul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5.243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-18.00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4.00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24.00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0.185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1.747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-1.0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0.026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0.456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3.00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8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Rating Difference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15.63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-58.31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-9.64</w:t>
            </w:r>
          </w:p>
        </w:tc>
        <w:tc>
          <w:tcPr>
            <w:tcW w:w="97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0.24</w:t>
            </w:r>
          </w:p>
        </w:tc>
        <w:tc>
          <w:tcPr>
            <w:tcW w:w="93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62.27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Importance Difference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1.095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32.10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-16.78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19.48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8,054</w:t>
            </w:r>
          </w:p>
        </w:tc>
      </w:tr>
    </w:tbl>
    <w:p>
      <w:pPr>
        <w:ind w:firstLine="708"/>
      </w:pPr>
    </w:p>
    <w:p>
      <w:pPr>
        <w:tabs>
          <w:tab w:val="left" w:pos="720"/>
        </w:tabs>
      </w:pPr>
      <w:r>
        <w:tab/>
      </w:r>
    </w:p>
    <w:tbl>
      <w:tblPr>
        <w:tblStyle w:val="10"/>
        <w:tblpPr w:leftFromText="141" w:rightFromText="141" w:vertAnchor="text" w:horzAnchor="margin" w:tblpX="1" w:tblpY="234"/>
        <w:tblW w:w="10043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8"/>
        <w:gridCol w:w="780"/>
        <w:gridCol w:w="750"/>
        <w:gridCol w:w="840"/>
        <w:gridCol w:w="1035"/>
        <w:gridCol w:w="1065"/>
        <w:gridCol w:w="1020"/>
        <w:gridCol w:w="825"/>
        <w:gridCol w:w="81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Dependent variables</w:t>
            </w:r>
          </w:p>
        </w:tc>
        <w:tc>
          <w:tcPr>
            <w:tcW w:w="78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75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SD</w:t>
            </w:r>
          </w:p>
        </w:tc>
        <w:tc>
          <w:tcPr>
            <w:tcW w:w="84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Min</w:t>
            </w:r>
          </w:p>
        </w:tc>
        <w:tc>
          <w:tcPr>
            <w:tcW w:w="103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Pctl(25)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Median</w:t>
            </w:r>
          </w:p>
        </w:tc>
        <w:tc>
          <w:tcPr>
            <w:tcW w:w="1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Pctl(75)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Max</w:t>
            </w:r>
          </w:p>
        </w:tc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  <w:lang w:val="en-US"/>
              </w:rPr>
              <w:t>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Goal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0.292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1.846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-13.00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Points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0.365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2.571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Moderators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Foreigners Share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0.213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-0.752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-0.139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-0.001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0.139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0.752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Age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0.001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1.573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-1.100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1.10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Occupancy Rate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0.713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0.227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0.558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0.763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0.911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Average Attendance(1000’s)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24.18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18.03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10.51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19.23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35.19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81.17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Mediators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Foul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0.108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5.243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-18.00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4.00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24.00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Yellow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0.185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1.747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-7.00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-1.0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7.00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Red Card Difference</w:t>
            </w:r>
          </w:p>
        </w:tc>
        <w:tc>
          <w:tcPr>
            <w:tcW w:w="78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0.026</w:t>
            </w:r>
          </w:p>
        </w:tc>
        <w:tc>
          <w:tcPr>
            <w:tcW w:w="75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0.456</w:t>
            </w:r>
          </w:p>
        </w:tc>
        <w:tc>
          <w:tcPr>
            <w:tcW w:w="84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-3.00</w:t>
            </w:r>
          </w:p>
        </w:tc>
        <w:tc>
          <w:tcPr>
            <w:tcW w:w="103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6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102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0.00</w:t>
            </w:r>
          </w:p>
        </w:tc>
        <w:tc>
          <w:tcPr>
            <w:tcW w:w="825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3.00</w:t>
            </w:r>
          </w:p>
        </w:tc>
        <w:tc>
          <w:tcPr>
            <w:tcW w:w="810" w:type="dxa"/>
            <w:tcBorders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43" w:type="dxa"/>
            <w:gridSpan w:val="9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Control Variables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Rating Difference</w:t>
            </w:r>
          </w:p>
        </w:tc>
        <w:tc>
          <w:tcPr>
            <w:tcW w:w="78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0.101</w:t>
            </w:r>
          </w:p>
        </w:tc>
        <w:tc>
          <w:tcPr>
            <w:tcW w:w="75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15.63</w:t>
            </w:r>
          </w:p>
        </w:tc>
        <w:tc>
          <w:tcPr>
            <w:tcW w:w="84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-58.31</w:t>
            </w:r>
          </w:p>
        </w:tc>
        <w:tc>
          <w:tcPr>
            <w:tcW w:w="103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-9.64</w:t>
            </w:r>
          </w:p>
        </w:tc>
        <w:tc>
          <w:tcPr>
            <w:tcW w:w="106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0.24</w:t>
            </w:r>
          </w:p>
        </w:tc>
        <w:tc>
          <w:tcPr>
            <w:tcW w:w="102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9.80</w:t>
            </w:r>
          </w:p>
        </w:tc>
        <w:tc>
          <w:tcPr>
            <w:tcW w:w="825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62.27</w:t>
            </w:r>
          </w:p>
        </w:tc>
        <w:tc>
          <w:tcPr>
            <w:tcW w:w="810" w:type="dxa"/>
            <w:tcBorders>
              <w:top w:val="single" w:color="auto" w:sz="4" w:space="0"/>
              <w:tl2br w:val="nil"/>
              <w:tr2bl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8" w:type="dxa"/>
            <w:tcBorders>
              <w:bottom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Importance Difference</w:t>
            </w:r>
          </w:p>
        </w:tc>
        <w:tc>
          <w:tcPr>
            <w:tcW w:w="78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1.095</w:t>
            </w:r>
          </w:p>
        </w:tc>
        <w:tc>
          <w:tcPr>
            <w:tcW w:w="75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32.10</w:t>
            </w:r>
          </w:p>
        </w:tc>
        <w:tc>
          <w:tcPr>
            <w:tcW w:w="84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-100</w:t>
            </w:r>
          </w:p>
        </w:tc>
        <w:tc>
          <w:tcPr>
            <w:tcW w:w="103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-16.78</w:t>
            </w:r>
          </w:p>
        </w:tc>
        <w:tc>
          <w:tcPr>
            <w:tcW w:w="106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0.10</w:t>
            </w:r>
          </w:p>
        </w:tc>
        <w:tc>
          <w:tcPr>
            <w:tcW w:w="102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19.48</w:t>
            </w:r>
          </w:p>
        </w:tc>
        <w:tc>
          <w:tcPr>
            <w:tcW w:w="825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100</w:t>
            </w:r>
          </w:p>
        </w:tc>
        <w:tc>
          <w:tcPr>
            <w:tcW w:w="810" w:type="dxa"/>
            <w:tcBorders>
              <w:bottom w:val="nil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  <w:t>8,054</w:t>
            </w:r>
          </w:p>
        </w:tc>
      </w:tr>
    </w:tbl>
    <w:p>
      <w:pPr>
        <w:tabs>
          <w:tab w:val="left" w:pos="720"/>
        </w:tabs>
        <w:sectPr>
          <w:pgSz w:w="11906" w:h="16838"/>
          <w:pgMar w:top="1418" w:right="1418" w:bottom="1418" w:left="1418" w:header="708" w:footer="708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08" w:num="1"/>
          <w:docGrid w:linePitch="360" w:charSpace="0"/>
        </w:sectPr>
      </w:pPr>
    </w:p>
    <w:tbl>
      <w:tblPr>
        <w:tblStyle w:val="10"/>
        <w:tblpPr w:leftFromText="141" w:rightFromText="141" w:vertAnchor="text" w:horzAnchor="margin" w:tblpX="1" w:tblpY="26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2"/>
        <w:gridCol w:w="3859"/>
        <w:gridCol w:w="2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482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Variable</w:t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  <w:r>
              <w:rPr>
                <w:rFonts w:ascii="Times New Roman" w:hAnsi="Times New Roman" w:cs="Times New Roman"/>
                <w:lang w:val="en-GB"/>
              </w:rPr>
              <w:tab/>
            </w:r>
          </w:p>
        </w:tc>
        <w:tc>
          <w:tcPr>
            <w:tcW w:w="2078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Operationalization</w:t>
            </w:r>
          </w:p>
        </w:tc>
        <w:tc>
          <w:tcPr>
            <w:tcW w:w="1439" w:type="pct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hint="default" w:ascii="Times New Roman" w:hAnsi="Times New Roman" w:cs="Times New Roman" w:eastAsiaTheme="minorHAnsi"/>
                <w:b/>
                <w:b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Dependent variables</w:t>
            </w:r>
          </w:p>
        </w:tc>
        <w:tc>
          <w:tcPr>
            <w:tcW w:w="2078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76" w:lineRule="auto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</w:p>
        </w:tc>
        <w:tc>
          <w:tcPr>
            <w:tcW w:w="143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Points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points home team minus number of points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Goal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Number of goals home team minus number of goals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Moderators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-US"/>
              </w:rPr>
              <w:t>Foreigner share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Share of foreigners home team minus share of foreigners away team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Age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Average age home team minus average age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Occupancy rate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Average attendance/stadium capacity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0"/>
                <w:szCs w:val="20"/>
                <w:lang w:val="en-US" w:eastAsia="en-US" w:bidi="ar-SA"/>
              </w:rPr>
              <w:t>AverageAttendance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/>
              </w:rPr>
              <w:t>Average attendance over season/1000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Transfermarkt.com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Mediators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GB"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Yellow card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Number of yellow cards away team minus number of yellow cards home team 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Foul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fouls away team minus number of  fouls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Red card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Number of red cards away team minus number of  red cards home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Independent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Covid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1 = post-covid   0 = pre covid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0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n-US" w:bidi="ar-SA"/>
              </w:rPr>
              <w:t>Control 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2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Rating difference</w:t>
            </w:r>
          </w:p>
        </w:tc>
        <w:tc>
          <w:tcPr>
            <w:tcW w:w="2078" w:type="pct"/>
            <w:tcBorders>
              <w:top w:val="single" w:color="auto" w:sz="4" w:space="0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Home team SPI rating minus away team SPI rating</w:t>
            </w:r>
          </w:p>
        </w:tc>
        <w:tc>
          <w:tcPr>
            <w:tcW w:w="143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Importance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Home team match importance minus away team match importance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VAR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 w:eastAsiaTheme="minorHAnsi"/>
                <w:color w:val="000000"/>
                <w:sz w:val="22"/>
                <w:szCs w:val="22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1 if VAR technology available  0 if not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Projects.fivethirtyeight.com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Shots Difference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Number of shots home team minus number of shots away team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GB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/>
              </w:rPr>
              <w:t>League</w:t>
            </w:r>
          </w:p>
        </w:tc>
        <w:tc>
          <w:tcPr>
            <w:tcW w:w="2078" w:type="pc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lang w:val="en-US" w:eastAsia="en-US" w:bidi="ar-SA"/>
              </w:rPr>
              <w:t>Dummy for each league in the dataset</w:t>
            </w:r>
          </w:p>
        </w:tc>
        <w:tc>
          <w:tcPr>
            <w:tcW w:w="1439" w:type="pc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Football-data.co.uk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990"/>
        <w:gridCol w:w="1770"/>
        <w:gridCol w:w="17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6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7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Goal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0.36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0.17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0.5300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0.31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0.5364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0.5518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0.03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0.5113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 Difference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0.29</w:t>
            </w:r>
          </w:p>
        </w:tc>
        <w:tc>
          <w:tcPr>
            <w:tcW w:w="177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-0.21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0.5258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1230"/>
        <w:gridCol w:w="1260"/>
        <w:gridCol w:w="1455"/>
        <w:gridCol w:w="17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4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75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0.53 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1.61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0.5282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Goals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1.58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1.47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0.5244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home Wins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0.45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0.40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Home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1.57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1.46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0.5406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13.34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12.26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0.5605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Home Shots on Target</w:t>
            </w:r>
          </w:p>
        </w:tc>
        <w:tc>
          <w:tcPr>
            <w:tcW w:w="123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4.63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5.06</w:t>
            </w:r>
          </w:p>
        </w:tc>
        <w:tc>
          <w:tcPr>
            <w:tcW w:w="145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0.5462</w:t>
            </w:r>
          </w:p>
        </w:tc>
        <w:tc>
          <w:tcPr>
            <w:tcW w:w="1755" w:type="dxa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0.47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Points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1.14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1.27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Goals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1.22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0.4791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Percentage Away wins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0.34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74.252^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Expected goals Away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1.25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1.30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0.4846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 xml:space="preserve">p </w:t>
            </w:r>
            <w:r>
              <w:rPr>
                <w:rFonts w:hint="default" w:ascii="Times New Roman" w:hAnsi="Times New Roman"/>
                <w:lang w:val="en-US"/>
              </w:rPr>
              <w:t xml:space="preserve"> = 0.043</w:t>
            </w:r>
            <w:r>
              <w:rPr>
                <w:rFonts w:hint="default"/>
                <w:lang w:val="en-GB"/>
              </w:rPr>
              <w:t xml:space="preserve">* 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10.78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10.92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0.4918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0.2156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Away Shots on Target</w:t>
            </w:r>
          </w:p>
        </w:tc>
        <w:tc>
          <w:tcPr>
            <w:tcW w:w="123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26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4.10</w:t>
            </w:r>
          </w:p>
        </w:tc>
        <w:tc>
          <w:tcPr>
            <w:tcW w:w="145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0.5016</w:t>
            </w:r>
          </w:p>
        </w:tc>
        <w:tc>
          <w:tcPr>
            <w:tcW w:w="1755" w:type="dxa"/>
            <w:vAlign w:val="top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0.8079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680"/>
        <w:gridCol w:w="1605"/>
        <w:gridCol w:w="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5" w:type="dxa"/>
        </w:trPr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Pre-Covid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Post-</w:t>
            </w:r>
            <w:r>
              <w:rPr>
                <w:rFonts w:ascii="Times New Roman" w:hAnsi="Times New Roman" w:cs="Times New Roman"/>
                <w:b/>
                <w:bCs/>
              </w:rPr>
              <w:t>Covid</w:t>
            </w:r>
          </w:p>
        </w:tc>
        <w:tc>
          <w:tcPr>
            <w:tcW w:w="16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Test Statistic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2.00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0.4915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0.1898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0.09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0.10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0.4977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0.4763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Home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12.87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13.14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0.4802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0.003</w:t>
            </w:r>
            <w:r>
              <w:rPr>
                <w:rFonts w:hint="default"/>
                <w:lang w:val="en-GB"/>
              </w:rPr>
              <w:t>* 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Yellow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2.26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1.98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0.5542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Red Card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0.11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0.5098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&lt;.001 </w:t>
            </w:r>
            <w:r>
              <w:rPr>
                <w:rFonts w:hint="default"/>
                <w:lang w:val="en-GB"/>
              </w:rPr>
              <w:t>* * *</w:t>
            </w:r>
            <w:r>
              <w:rPr>
                <w:rFonts w:hint="default" w:ascii="Times New Roman" w:hAnsi="Times New Roman"/>
                <w:lang w:val="en-US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Fouls Away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13.16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12.93</w:t>
            </w:r>
          </w:p>
        </w:tc>
        <w:tc>
          <w:tcPr>
            <w:tcW w:w="1680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lang w:val="en-US"/>
              </w:rPr>
            </w:pPr>
            <w:r>
              <w:rPr>
                <w:rFonts w:hint="default" w:ascii="Times New Roman" w:hAnsi="Times New Roman"/>
                <w:lang w:val="en-US"/>
              </w:rPr>
              <w:t>0.5128</w:t>
            </w:r>
          </w:p>
        </w:tc>
        <w:tc>
          <w:tcPr>
            <w:tcW w:w="1680" w:type="dxa"/>
            <w:gridSpan w:val="2"/>
          </w:tcPr>
          <w:p>
            <w:pPr>
              <w:spacing w:after="0" w:line="240" w:lineRule="auto"/>
              <w:ind w:firstLine="110" w:firstLineChars="50"/>
              <w:jc w:val="both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/>
                <w:i/>
                <w:iCs/>
                <w:lang w:val="en-US"/>
              </w:rPr>
              <w:t>p</w:t>
            </w:r>
            <w:r>
              <w:rPr>
                <w:rFonts w:hint="default" w:ascii="Times New Roman" w:hAnsi="Times New Roman"/>
                <w:lang w:val="en-US"/>
              </w:rPr>
              <w:t xml:space="preserve">  = 0.053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 .080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.942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.900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.876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 .950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Actual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Good fit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Pass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RMSEA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.033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SRMR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.013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&lt;.080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CFI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.931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&gt;.900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TLI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.852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&gt;.950</w:t>
            </w:r>
          </w:p>
        </w:tc>
        <w:tc>
          <w:tcPr>
            <w:tcW w:w="1305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No</w:t>
            </w:r>
          </w:p>
        </w:tc>
      </w:tr>
    </w:tbl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lang w:val="en-GB"/>
        </w:rPr>
      </w:pPr>
    </w:p>
    <w:tbl>
      <w:tblPr>
        <w:tblStyle w:val="10"/>
        <w:tblpPr w:leftFromText="141" w:rightFromText="141" w:vertAnchor="text" w:horzAnchor="page" w:tblpX="872" w:tblpY="-227"/>
        <w:tblW w:w="108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6"/>
        <w:gridCol w:w="4350"/>
        <w:gridCol w:w="756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92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</w:p>
        </w:tc>
        <w:tc>
          <w:tcPr>
            <w:tcW w:w="4350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color w:val="000000"/>
                <w:sz w:val="18"/>
                <w:szCs w:val="18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Hypothesis</w:t>
            </w:r>
          </w:p>
        </w:tc>
        <w:tc>
          <w:tcPr>
            <w:tcW w:w="756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Accept</w:t>
            </w:r>
          </w:p>
        </w:tc>
        <w:tc>
          <w:tcPr>
            <w:tcW w:w="3804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18"/>
                <w:szCs w:val="18"/>
                <w:lang w:val="en-US"/>
              </w:rPr>
              <w:t>Findings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Crowd support positively influences Home Team Performance.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points gap decreased by .292 and the goals gap decreased by .207 because of the absent crowd support.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increases when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crowd size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Crowd size does not significantly alter the influence of crowd support on team performance ( ax = , p =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he effect of crowd support on team performance increases when Stadium occupancy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points gap is … higher and the goals gap is … higher for teams with high occupancy levels compared to teams with low occupancy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1d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effect of crowd support on team performance is weaker for teams with older players.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Player age does not significantly alter the influence of crowd support on team performance ( ax = , p =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en-US" w:bidi="ar-SA"/>
              </w:rPr>
              <w:t>Hypothesis 1e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weaken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0"/>
                <w:szCs w:val="20"/>
                <w:lang w:eastAsia="zh-CN"/>
              </w:rPr>
              <w:t>e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d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The amount of playing time for foreigners does not significantly alter the influence of crowd support on team performance ( ax = , p =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effect of crowd support on team performance is mediated by Referee Bias</w:t>
            </w:r>
            <w:r>
              <w:rPr>
                <w:rFonts w:hint="default" w:cs="Times New Roman"/>
                <w:i w:val="0"/>
                <w:iCs w:val="0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C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effect of crowd support on team performance is mediated by referee bias, with a 1 unit increase in referee bias decreasing points gap by (..) and goals gap by (..)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shd w:val="clear" w:color="auto" w:fill="FBFBFB"/>
                <w:lang w:val="en-US"/>
              </w:rPr>
              <w:t>Hypothesis 2b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Stadium Occupancy increases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occupancy rate does not significantly alter the influence of crowd support on referee bias(ax = , p =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>Hypothesis 2c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>The mediating effect of referee Bias on the relationship between crowd support and team performance increases when average Crowd Size increases.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Crowd size does not significantly alter the influence of crowd support on referee bias(ax = , p = 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sz w:val="20"/>
                <w:szCs w:val="20"/>
                <w:lang w:val="en-US" w:bidi="ar"/>
              </w:rPr>
              <w:t>Hypothesis 2d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4"/>
              <w:spacing w:before="78" w:line="240" w:lineRule="auto"/>
              <w:ind w:left="0" w:right="105"/>
              <w:rPr>
                <w:rFonts w:hint="default" w:ascii="Times New Roman" w:hAnsi="Times New Roman" w:cs="Times New Roman" w:eastAsiaTheme="minorHAnsi"/>
                <w:i w:val="0"/>
                <w:iCs w:val="0"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  <w:t xml:space="preserve">The mediating effect of referee Bias on the relationship between crowd support and team performance decreases when the share of foreigners increases. 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 w:eastAsiaTheme="minorHAnsi"/>
                <w:i/>
                <w:iCs/>
                <w:color w:val="000000"/>
                <w:sz w:val="20"/>
                <w:szCs w:val="20"/>
                <w:lang w:val="en-GB" w:eastAsia="en-US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sym w:font="Wingdings" w:char="00FB"/>
            </w:r>
          </w:p>
        </w:tc>
        <w:tc>
          <w:tcPr>
            <w:tcW w:w="380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The amount of playing time for foreigners does not significantly alter the influence of crowd support on referee bias(ax = , p = ) </w:t>
            </w:r>
          </w:p>
        </w:tc>
      </w:tr>
    </w:tbl>
    <w:p/>
    <w:tbl>
      <w:tblPr>
        <w:tblStyle w:val="10"/>
        <w:tblpPr w:leftFromText="141" w:rightFromText="141" w:vertAnchor="text" w:horzAnchor="margin" w:tblpX="1" w:tblpY="29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425"/>
        <w:gridCol w:w="1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2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Points Difference</w:t>
            </w:r>
          </w:p>
        </w:tc>
        <w:tc>
          <w:tcPr>
            <w:tcW w:w="130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Goal Difference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Direct effect Low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bookmarkStart w:id="0" w:name="_GoBack"/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-.339</w:t>
            </w: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(.112)</w:t>
            </w:r>
            <w:bookmarkEnd w:id="0"/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-.197**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Direct effect mean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-.538***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(.112)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-.356***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(.083)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206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Direct Effect High Occupancy</w:t>
            </w:r>
          </w:p>
        </w:tc>
        <w:tc>
          <w:tcPr>
            <w:tcW w:w="142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-.737***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(.147)</w:t>
            </w:r>
          </w:p>
        </w:tc>
        <w:tc>
          <w:tcPr>
            <w:tcW w:w="130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-.514***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(.107)</w:t>
            </w:r>
          </w:p>
        </w:tc>
      </w:tr>
    </w:tbl>
    <w:p>
      <w:pPr>
        <w:rPr>
          <w:lang w:val="en-GB"/>
        </w:rPr>
      </w:pPr>
    </w:p>
    <w:sectPr>
      <w:pgSz w:w="11906" w:h="16838"/>
      <w:pgMar w:top="1418" w:right="1418" w:bottom="1418" w:left="1418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306"/>
    <w:rsid w:val="00120CBC"/>
    <w:rsid w:val="003F541F"/>
    <w:rsid w:val="005A0306"/>
    <w:rsid w:val="00765CB4"/>
    <w:rsid w:val="00A9475A"/>
    <w:rsid w:val="00EC3FFC"/>
    <w:rsid w:val="00FE0A19"/>
    <w:rsid w:val="016025DB"/>
    <w:rsid w:val="026C2930"/>
    <w:rsid w:val="05747659"/>
    <w:rsid w:val="071D7E8F"/>
    <w:rsid w:val="0BEF4F15"/>
    <w:rsid w:val="0D6B1489"/>
    <w:rsid w:val="0E3E4D78"/>
    <w:rsid w:val="12D37954"/>
    <w:rsid w:val="13E4469D"/>
    <w:rsid w:val="14754063"/>
    <w:rsid w:val="15A33ADC"/>
    <w:rsid w:val="16085EB7"/>
    <w:rsid w:val="16D479C8"/>
    <w:rsid w:val="1C485D61"/>
    <w:rsid w:val="1DF4699A"/>
    <w:rsid w:val="1E7E1828"/>
    <w:rsid w:val="1F8A710D"/>
    <w:rsid w:val="220B0BDE"/>
    <w:rsid w:val="22662CE0"/>
    <w:rsid w:val="24C157BA"/>
    <w:rsid w:val="254549E8"/>
    <w:rsid w:val="26D56D9B"/>
    <w:rsid w:val="2796571E"/>
    <w:rsid w:val="27A40E50"/>
    <w:rsid w:val="2B6D6FDF"/>
    <w:rsid w:val="2FBC6BF4"/>
    <w:rsid w:val="32B2632D"/>
    <w:rsid w:val="32C21D9C"/>
    <w:rsid w:val="34752F07"/>
    <w:rsid w:val="348B64D7"/>
    <w:rsid w:val="35161B23"/>
    <w:rsid w:val="36125563"/>
    <w:rsid w:val="362F36B9"/>
    <w:rsid w:val="38444EF8"/>
    <w:rsid w:val="384C4A01"/>
    <w:rsid w:val="388F5964"/>
    <w:rsid w:val="39AC214B"/>
    <w:rsid w:val="3A6D3499"/>
    <w:rsid w:val="3CF63654"/>
    <w:rsid w:val="4155266F"/>
    <w:rsid w:val="43B43592"/>
    <w:rsid w:val="45664696"/>
    <w:rsid w:val="45E048DD"/>
    <w:rsid w:val="46393C98"/>
    <w:rsid w:val="49944E80"/>
    <w:rsid w:val="4D9E4A3E"/>
    <w:rsid w:val="51C43629"/>
    <w:rsid w:val="52FA46CB"/>
    <w:rsid w:val="53014877"/>
    <w:rsid w:val="56F80D35"/>
    <w:rsid w:val="59885BC0"/>
    <w:rsid w:val="5AEF26D9"/>
    <w:rsid w:val="5BE967DD"/>
    <w:rsid w:val="627B1ED3"/>
    <w:rsid w:val="636C1F77"/>
    <w:rsid w:val="6383621C"/>
    <w:rsid w:val="64813ADF"/>
    <w:rsid w:val="6609451A"/>
    <w:rsid w:val="69040D95"/>
    <w:rsid w:val="69A61BFF"/>
    <w:rsid w:val="6BFC2041"/>
    <w:rsid w:val="6EF32E0E"/>
    <w:rsid w:val="6FA64973"/>
    <w:rsid w:val="71FD6C53"/>
    <w:rsid w:val="72AB23CD"/>
    <w:rsid w:val="72DA66FC"/>
    <w:rsid w:val="73C6572C"/>
    <w:rsid w:val="75744665"/>
    <w:rsid w:val="77CB3ED1"/>
    <w:rsid w:val="79132B79"/>
    <w:rsid w:val="79A47108"/>
    <w:rsid w:val="7B4E7515"/>
    <w:rsid w:val="7BBA43F2"/>
    <w:rsid w:val="7D9D4477"/>
    <w:rsid w:val="7DE7223A"/>
    <w:rsid w:val="7EED23B0"/>
    <w:rsid w:val="7F5A1987"/>
    <w:rsid w:val="7FB4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18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7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Strong"/>
    <w:basedOn w:val="2"/>
    <w:qFormat/>
    <w:uiPriority w:val="22"/>
    <w:rPr>
      <w:b/>
      <w:bCs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103</Words>
  <Characters>570</Characters>
  <Lines>4</Lines>
  <Paragraphs>1</Paragraphs>
  <TotalTime>28</TotalTime>
  <ScaleCrop>false</ScaleCrop>
  <LinksUpToDate>false</LinksUpToDate>
  <CharactersWithSpaces>672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2021-04-12T10:55:00Z</dcterms:created>
  <dc:creator>G.W.J. van Bussel</dc:creator>
  <cp:lastModifiedBy>alanr</cp:lastModifiedBy>
  <dcterms:modified xsi:type="dcterms:W3CDTF">2021-05-14T04:15:34Z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9f4804-9ab0-4527-a877-f7a87100f5fc_Enabled">
    <vt:lpwstr>true</vt:lpwstr>
  </property>
  <property fmtid="{D5CDD505-2E9C-101B-9397-08002B2CF9AE}" pid="3" name="MSIP_Label_b29f4804-9ab0-4527-a877-f7a87100f5fc_SetDate">
    <vt:lpwstr>2021-04-12T10:55:32Z</vt:lpwstr>
  </property>
  <property fmtid="{D5CDD505-2E9C-101B-9397-08002B2CF9AE}" pid="4" name="MSIP_Label_b29f4804-9ab0-4527-a877-f7a87100f5fc_Method">
    <vt:lpwstr>Standard</vt:lpwstr>
  </property>
  <property fmtid="{D5CDD505-2E9C-101B-9397-08002B2CF9AE}" pid="5" name="MSIP_Label_b29f4804-9ab0-4527-a877-f7a87100f5fc_Name">
    <vt:lpwstr>General</vt:lpwstr>
  </property>
  <property fmtid="{D5CDD505-2E9C-101B-9397-08002B2CF9AE}" pid="6" name="MSIP_Label_b29f4804-9ab0-4527-a877-f7a87100f5fc_SiteId">
    <vt:lpwstr>7a5561df-6599-4898-8a20-cce41db3b44f</vt:lpwstr>
  </property>
  <property fmtid="{D5CDD505-2E9C-101B-9397-08002B2CF9AE}" pid="7" name="MSIP_Label_b29f4804-9ab0-4527-a877-f7a87100f5fc_ActionId">
    <vt:lpwstr>18227e91-f650-416e-b18c-04cd94d20d59</vt:lpwstr>
  </property>
  <property fmtid="{D5CDD505-2E9C-101B-9397-08002B2CF9AE}" pid="8" name="MSIP_Label_b29f4804-9ab0-4527-a877-f7a87100f5fc_ContentBits">
    <vt:lpwstr>0</vt:lpwstr>
  </property>
  <property fmtid="{D5CDD505-2E9C-101B-9397-08002B2CF9AE}" pid="9" name="KSOProductBuildVer">
    <vt:lpwstr>1033-11.2.0.10132</vt:lpwstr>
  </property>
</Properties>
</file>