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41" w:rightFromText="141" w:vertAnchor="text" w:horzAnchor="page" w:tblpX="872" w:tblpY="-227"/>
        <w:tblW w:w="144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1068"/>
        <w:gridCol w:w="936"/>
        <w:gridCol w:w="1092"/>
        <w:gridCol w:w="792"/>
        <w:gridCol w:w="756"/>
        <w:gridCol w:w="744"/>
        <w:gridCol w:w="1008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926" w:type="dxa"/>
            <w:tcBorders>
              <w:top w:val="single" w:color="000000" w:sz="8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bookmarkStart w:id="0" w:name="_GoBack" w:colFirst="0" w:colLast="8"/>
          </w:p>
        </w:tc>
        <w:tc>
          <w:tcPr>
            <w:tcW w:w="1068" w:type="dxa"/>
            <w:tcBorders>
              <w:top w:val="single" w:color="000000" w:sz="8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Covid-19 Natural Experiment</w:t>
            </w:r>
          </w:p>
        </w:tc>
        <w:tc>
          <w:tcPr>
            <w:tcW w:w="936" w:type="dxa"/>
            <w:tcBorders>
              <w:top w:val="single" w:color="000000" w:sz="8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Country aggregate</w:t>
            </w:r>
          </w:p>
        </w:tc>
        <w:tc>
          <w:tcPr>
            <w:tcW w:w="1092" w:type="dxa"/>
            <w:tcBorders>
              <w:top w:val="single" w:color="000000" w:sz="8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Occupancy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792" w:type="dxa"/>
            <w:tcBorders>
              <w:top w:val="single" w:color="000000" w:sz="8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Referee Bias</w:t>
            </w:r>
          </w:p>
        </w:tc>
        <w:tc>
          <w:tcPr>
            <w:tcW w:w="756" w:type="dxa"/>
            <w:tcBorders>
              <w:top w:val="single" w:color="000000" w:sz="8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size</w:t>
            </w:r>
          </w:p>
        </w:tc>
        <w:tc>
          <w:tcPr>
            <w:tcW w:w="744" w:type="dxa"/>
            <w:tcBorders>
              <w:top w:val="single" w:color="000000" w:sz="8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Team Age</w:t>
            </w:r>
          </w:p>
        </w:tc>
        <w:tc>
          <w:tcPr>
            <w:tcW w:w="1008" w:type="dxa"/>
            <w:tcBorders>
              <w:top w:val="single" w:color="000000" w:sz="8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Share of Foreigners</w:t>
            </w:r>
          </w:p>
        </w:tc>
        <w:tc>
          <w:tcPr>
            <w:tcW w:w="6095" w:type="dxa"/>
            <w:tcBorders>
              <w:top w:val="single" w:color="000000" w:sz="8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Study Conclusions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926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Boyko, Boyko, &amp; Boyko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(2007)</w:t>
            </w:r>
          </w:p>
        </w:tc>
        <w:tc>
          <w:tcPr>
            <w:tcW w:w="1068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Indivdual referees give significant different responses to crowd noise and have significant different levels of home team bias.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2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Carron &amp; Agnew (1994)</w:t>
            </w:r>
          </w:p>
        </w:tc>
        <w:tc>
          <w:tcPr>
            <w:tcW w:w="106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There is  a positive relationship with crowd density and home advantage. But the explanatory power of crowd support effects is rather low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2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Courneya &amp; Carron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1992)</w:t>
            </w:r>
          </w:p>
        </w:tc>
        <w:tc>
          <w:tcPr>
            <w:tcW w:w="106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size is a significant predictor of home advantage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Endrich&amp; Gesche (2020)</w:t>
            </w:r>
          </w:p>
        </w:tc>
        <w:tc>
          <w:tcPr>
            <w:tcW w:w="106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There is a significant change in punishment for away teams in the situation of “ghost games”.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Fischer &amp; Haucap (2020)</w:t>
            </w:r>
          </w:p>
        </w:tc>
        <w:tc>
          <w:tcPr>
            <w:tcW w:w="106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Crowd occupancy is the main driver of differences in home advantage pre and post covid-19. Referee bias and absolute crowd size appear less important.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Mccarick et al(2020)</w:t>
            </w:r>
          </w:p>
        </w:tc>
        <w:tc>
          <w:tcPr>
            <w:tcW w:w="106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decreased significantly after covid-19, points and goals for home teams decreased. Also referee issued significantly fewer sanctions against away teams.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Nevill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&amp;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Holder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(1999)</w:t>
            </w:r>
          </w:p>
        </w:tc>
        <w:tc>
          <w:tcPr>
            <w:tcW w:w="106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Referee bias is the most important component of crowd support effect on team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Pollard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(2006)</w:t>
            </w:r>
          </w:p>
        </w:tc>
        <w:tc>
          <w:tcPr>
            <w:tcW w:w="106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is a result of many different factors all interacting with each-other. With differeng levels across countries and sports.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bidi="ar"/>
              </w:rPr>
              <w:t>Pollard</w:t>
            </w:r>
            <w:r>
              <w:rPr>
                <w:rFonts w:hint="default" w:ascii="Times New Roman" w:hAnsi="Times New Roman" w:eastAsia="SimSun" w:cs="Times New Roman"/>
                <w:color w:val="000000"/>
                <w:sz w:val="18"/>
                <w:szCs w:val="18"/>
                <w:lang w:val="en-US" w:bidi="ar"/>
              </w:rPr>
              <w:t xml:space="preserve"> </w:t>
            </w:r>
            <w:r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bidi="ar"/>
              </w:rPr>
              <w:t>(2008)</w:t>
            </w:r>
          </w:p>
        </w:tc>
        <w:tc>
          <w:tcPr>
            <w:tcW w:w="106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is a result of many different factors all interacting with each-other.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Ponzo &amp; Scoppa (2018)</w:t>
            </w:r>
          </w:p>
        </w:tc>
        <w:tc>
          <w:tcPr>
            <w:tcW w:w="106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Home advantage still persists in derby matches, where familiarity and travel factors are mitigated. Supporting the notion of crowd support influencing home advantage.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Schwartz &amp; Barsky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1977)</w:t>
            </w:r>
          </w:p>
        </w:tc>
        <w:tc>
          <w:tcPr>
            <w:tcW w:w="106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Home advantage primarily sterns from crowd support. With stronger crowd support(occupancy/size) increasing home advantage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2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Van der Ven (2016)</w:t>
            </w:r>
          </w:p>
        </w:tc>
        <w:tc>
          <w:tcPr>
            <w:tcW w:w="106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0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Teams with a higher average age perform better in Away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Tilp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&amp;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Thaller  (2020)</w:t>
            </w:r>
          </w:p>
        </w:tc>
        <w:tc>
          <w:tcPr>
            <w:tcW w:w="106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Covid has turned home advantage into a home disadvantage in case of “ghost games”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926" w:type="dxa"/>
            <w:tcBorders>
              <w:top w:val="dotted" w:color="auto" w:sz="0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THIS PAPER</w:t>
            </w:r>
          </w:p>
        </w:tc>
        <w:tc>
          <w:tcPr>
            <w:tcW w:w="1068" w:type="dxa"/>
            <w:tcBorders>
              <w:top w:val="dotted" w:color="auto" w:sz="0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dotted" w:color="auto" w:sz="0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dotted" w:color="auto" w:sz="0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dotted" w:color="auto" w:sz="0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dotted" w:color="auto" w:sz="0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dotted" w:color="auto" w:sz="0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08" w:type="dxa"/>
            <w:tcBorders>
              <w:top w:val="dotted" w:color="auto" w:sz="0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6095" w:type="dxa"/>
            <w:tcBorders>
              <w:top w:val="dotted" w:color="auto" w:sz="0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CCCCCC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</w:tc>
      </w:tr>
      <w:bookmarkEnd w:id="0"/>
    </w:tbl>
    <w:p/>
    <w:p/>
    <w:p>
      <w:pPr>
        <w:sectPr>
          <w:pgSz w:w="16838" w:h="11906" w:orient="landscape"/>
          <w:pgMar w:top="1417" w:right="1417" w:bottom="1417" w:left="1417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docGrid w:linePitch="360" w:charSpace="0"/>
        </w:sectPr>
      </w:pPr>
    </w:p>
    <w:p/>
    <w:tbl>
      <w:tblPr>
        <w:tblStyle w:val="6"/>
        <w:tblpPr w:leftFromText="141" w:rightFromText="141" w:vertAnchor="text" w:horzAnchor="margin" w:tblpX="1" w:tblpY="234"/>
        <w:tblW w:w="104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1392"/>
        <w:gridCol w:w="1512"/>
        <w:gridCol w:w="852"/>
        <w:gridCol w:w="876"/>
        <w:gridCol w:w="924"/>
        <w:gridCol w:w="828"/>
        <w:gridCol w:w="852"/>
        <w:gridCol w:w="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252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392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Mean (M)</w:t>
            </w:r>
          </w:p>
        </w:tc>
        <w:tc>
          <w:tcPr>
            <w:tcW w:w="1512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St. Dev. (SD)</w:t>
            </w:r>
          </w:p>
        </w:tc>
        <w:tc>
          <w:tcPr>
            <w:tcW w:w="852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Min</w:t>
            </w:r>
          </w:p>
        </w:tc>
        <w:tc>
          <w:tcPr>
            <w:tcW w:w="876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Pct(25)</w:t>
            </w:r>
          </w:p>
        </w:tc>
        <w:tc>
          <w:tcPr>
            <w:tcW w:w="924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Median</w:t>
            </w:r>
          </w:p>
        </w:tc>
        <w:tc>
          <w:tcPr>
            <w:tcW w:w="828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Pct(75)</w:t>
            </w:r>
          </w:p>
        </w:tc>
        <w:tc>
          <w:tcPr>
            <w:tcW w:w="852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Max</w:t>
            </w:r>
          </w:p>
        </w:tc>
        <w:tc>
          <w:tcPr>
            <w:tcW w:w="684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Dependent Variables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Percentage points Home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0.561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0.429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4" w:hRule="atLeast"/>
        </w:trPr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Expected Goals Difference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1.299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-8.04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-0.56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1.06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6.79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5,999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Goal Difference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1.846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Moderators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4" w:hRule="atLeast"/>
        </w:trPr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Foreigners Share difference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-.00001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0.213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-0.752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-0.139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-0.001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0.139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0.752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Age Difference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1.573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-5.00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-1.100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1.100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5.00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Occupancy Rate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0.525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0.359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0.162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0.605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0.831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Crowdsize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17,797.990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18,466.020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2,913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12,321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27,022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81,171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Mediators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Yellow Card Difference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-0.185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1.747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Foul Difference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-0.107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5.243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-24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Red Card Difference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-0.026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0.456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Control Variables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Rating Difference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15.625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-58.310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-9.640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0.240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9.800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62.270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Importance Difference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1.095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32.106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-100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-16.775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19.475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8,054</w:t>
            </w:r>
          </w:p>
        </w:tc>
      </w:tr>
    </w:tbl>
    <w:p>
      <w:pPr>
        <w:tabs>
          <w:tab w:val="left" w:pos="720"/>
        </w:tabs>
        <w:sectPr>
          <w:pgSz w:w="11906" w:h="16838"/>
          <w:pgMar w:top="1418" w:right="1418" w:bottom="1418" w:left="1418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docGrid w:linePitch="360" w:charSpace="0"/>
        </w:sectPr>
      </w:pPr>
      <w:r>
        <w:tab/>
      </w:r>
    </w:p>
    <w:tbl>
      <w:tblPr>
        <w:tblStyle w:val="6"/>
        <w:tblpPr w:leftFromText="141" w:rightFromText="141" w:vertAnchor="text" w:horzAnchor="margin" w:tblpX="1" w:tblpY="269"/>
        <w:tblW w:w="0" w:type="auto"/>
        <w:tblInd w:w="0" w:type="dxa"/>
        <w:tblBorders>
          <w:top w:val="dashSmallGap" w:color="000000" w:sz="4" w:space="0"/>
          <w:left w:val="dashSmallGap" w:color="000000" w:sz="4" w:space="0"/>
          <w:bottom w:val="dashSmallGap" w:color="000000" w:sz="4" w:space="0"/>
          <w:right w:val="dashSmallGap" w:color="000000" w:sz="4" w:space="0"/>
          <w:insideH w:val="dashSmallGap" w:color="000000" w:sz="4" w:space="0"/>
          <w:insideV w:val="dashSmallGap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832"/>
      </w:tblGrid>
      <w:tr>
        <w:tblPrEx>
          <w:tblBorders>
            <w:top w:val="dashSmallGap" w:color="000000" w:sz="4" w:space="0"/>
            <w:left w:val="dashSmallGap" w:color="000000" w:sz="4" w:space="0"/>
            <w:bottom w:val="dashSmallGap" w:color="000000" w:sz="4" w:space="0"/>
            <w:right w:val="dashSmallGap" w:color="000000" w:sz="4" w:space="0"/>
            <w:insideH w:val="dashSmallGap" w:color="000000" w:sz="4" w:space="0"/>
            <w:insideV w:val="dashSmallGap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454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>Variable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</w:p>
        </w:tc>
        <w:tc>
          <w:tcPr>
            <w:tcW w:w="6832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after="0" w:line="276" w:lineRule="auto"/>
              <w:rPr>
                <w:rFonts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>Operationalization</w:t>
            </w:r>
          </w:p>
        </w:tc>
      </w:tr>
      <w:tr>
        <w:tblPrEx>
          <w:tblBorders>
            <w:top w:val="dashSmallGap" w:color="000000" w:sz="4" w:space="0"/>
            <w:left w:val="dashSmallGap" w:color="000000" w:sz="4" w:space="0"/>
            <w:bottom w:val="dashSmallGap" w:color="000000" w:sz="4" w:space="0"/>
            <w:right w:val="dashSmallGap" w:color="000000" w:sz="4" w:space="0"/>
            <w:insideH w:val="dashSmallGap" w:color="000000" w:sz="4" w:space="0"/>
            <w:insideV w:val="dashSmallGap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after="0" w:line="276" w:lineRule="auto"/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Dependent variables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after="0" w:line="276" w:lineRule="auto"/>
              <w:rPr>
                <w:rFonts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</w:p>
        </w:tc>
      </w:tr>
      <w:tr>
        <w:tblPrEx>
          <w:tblBorders>
            <w:top w:val="dashSmallGap" w:color="000000" w:sz="4" w:space="0"/>
            <w:left w:val="dashSmallGap" w:color="000000" w:sz="4" w:space="0"/>
            <w:bottom w:val="dashSmallGap" w:color="000000" w:sz="4" w:space="0"/>
            <w:right w:val="dashSmallGap" w:color="000000" w:sz="4" w:space="0"/>
            <w:insideH w:val="dashSmallGap" w:color="000000" w:sz="4" w:space="0"/>
            <w:insideV w:val="dashSmallGap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2454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Percentage points home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percentage of total points obtained by the home team in a single match, 0 = 0%  , 1 = 100%</w:t>
            </w:r>
          </w:p>
        </w:tc>
      </w:tr>
      <w:tr>
        <w:tblPrEx>
          <w:tblBorders>
            <w:top w:val="dashSmallGap" w:color="000000" w:sz="4" w:space="0"/>
            <w:left w:val="dashSmallGap" w:color="000000" w:sz="4" w:space="0"/>
            <w:bottom w:val="dashSmallGap" w:color="000000" w:sz="4" w:space="0"/>
            <w:right w:val="dashSmallGap" w:color="000000" w:sz="4" w:space="0"/>
            <w:insideH w:val="dashSmallGap" w:color="000000" w:sz="4" w:space="0"/>
            <w:insideV w:val="dashSmallGap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2454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Expected goals difference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Continuous number obtained by deducting expected goals for the away team from the expected goals of the home team</w:t>
            </w:r>
          </w:p>
        </w:tc>
      </w:tr>
      <w:tr>
        <w:tblPrEx>
          <w:tblBorders>
            <w:top w:val="dashSmallGap" w:color="000000" w:sz="4" w:space="0"/>
            <w:left w:val="dashSmallGap" w:color="000000" w:sz="4" w:space="0"/>
            <w:bottom w:val="dashSmallGap" w:color="000000" w:sz="4" w:space="0"/>
            <w:right w:val="dashSmallGap" w:color="000000" w:sz="4" w:space="0"/>
            <w:insideH w:val="dashSmallGap" w:color="000000" w:sz="4" w:space="0"/>
            <w:insideV w:val="dashSmallGap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Goal difference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Integer value obtained by deducting number of away goals from number of home goals</w:t>
            </w:r>
          </w:p>
        </w:tc>
      </w:tr>
      <w:tr>
        <w:tblPrEx>
          <w:tblBorders>
            <w:top w:val="dashSmallGap" w:color="000000" w:sz="4" w:space="0"/>
            <w:left w:val="dashSmallGap" w:color="000000" w:sz="4" w:space="0"/>
            <w:bottom w:val="dashSmallGap" w:color="000000" w:sz="4" w:space="0"/>
            <w:right w:val="dashSmallGap" w:color="000000" w:sz="4" w:space="0"/>
            <w:insideH w:val="dashSmallGap" w:color="000000" w:sz="4" w:space="0"/>
            <w:insideV w:val="dashSmallGap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Moderators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>
        <w:tblPrEx>
          <w:tblBorders>
            <w:top w:val="dashSmallGap" w:color="000000" w:sz="4" w:space="0"/>
            <w:left w:val="dashSmallGap" w:color="000000" w:sz="4" w:space="0"/>
            <w:bottom w:val="dashSmallGap" w:color="000000" w:sz="4" w:space="0"/>
            <w:right w:val="dashSmallGap" w:color="000000" w:sz="4" w:space="0"/>
            <w:insideH w:val="dashSmallGap" w:color="000000" w:sz="4" w:space="0"/>
            <w:insideV w:val="dashSmallGap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Foreigner share difference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Share of foreigners home team - Share of foreigners away team</w:t>
            </w:r>
          </w:p>
        </w:tc>
      </w:tr>
      <w:tr>
        <w:tblPrEx>
          <w:tblBorders>
            <w:top w:val="dashSmallGap" w:color="000000" w:sz="4" w:space="0"/>
            <w:left w:val="dashSmallGap" w:color="000000" w:sz="4" w:space="0"/>
            <w:bottom w:val="dashSmallGap" w:color="000000" w:sz="4" w:space="0"/>
            <w:right w:val="dashSmallGap" w:color="000000" w:sz="4" w:space="0"/>
            <w:insideH w:val="dashSmallGap" w:color="000000" w:sz="4" w:space="0"/>
            <w:insideV w:val="dashSmallGap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Age difference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Average age Home Team - Average age Away Team</w:t>
            </w:r>
          </w:p>
        </w:tc>
      </w:tr>
      <w:tr>
        <w:tblPrEx>
          <w:tblBorders>
            <w:top w:val="dashSmallGap" w:color="000000" w:sz="4" w:space="0"/>
            <w:left w:val="dashSmallGap" w:color="000000" w:sz="4" w:space="0"/>
            <w:bottom w:val="dashSmallGap" w:color="000000" w:sz="4" w:space="0"/>
            <w:right w:val="dashSmallGap" w:color="000000" w:sz="4" w:space="0"/>
            <w:insideH w:val="dashSmallGap" w:color="000000" w:sz="4" w:space="0"/>
            <w:insideV w:val="dashSmallGap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Occupancy rate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Continuous value between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 spectators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) and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(s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old out stadium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)</w:t>
            </w:r>
          </w:p>
        </w:tc>
      </w:tr>
      <w:tr>
        <w:tblPrEx>
          <w:tblBorders>
            <w:top w:val="dashSmallGap" w:color="000000" w:sz="4" w:space="0"/>
            <w:left w:val="dashSmallGap" w:color="000000" w:sz="4" w:space="0"/>
            <w:bottom w:val="dashSmallGap" w:color="000000" w:sz="4" w:space="0"/>
            <w:right w:val="dashSmallGap" w:color="000000" w:sz="4" w:space="0"/>
            <w:insideH w:val="dashSmallGap" w:color="000000" w:sz="4" w:space="0"/>
            <w:insideV w:val="dashSmallGap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6" w:hRule="atLeast"/>
        </w:trPr>
        <w:tc>
          <w:tcPr>
            <w:tcW w:w="2454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lang w:val="en-US" w:eastAsia="en-US" w:bidi="ar-SA"/>
              </w:rPr>
              <w:t>Crowdsize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/>
              </w:rPr>
              <w:t>Small if average attendance smaller than 20,000, Medium if average attendance between 20,000 and 40,000 , Large if average attendance &gt; 40,000</w:t>
            </w:r>
          </w:p>
        </w:tc>
      </w:tr>
      <w:tr>
        <w:tblPrEx>
          <w:tblBorders>
            <w:top w:val="dashSmallGap" w:color="000000" w:sz="4" w:space="0"/>
            <w:left w:val="dashSmallGap" w:color="000000" w:sz="4" w:space="0"/>
            <w:bottom w:val="dashSmallGap" w:color="000000" w:sz="4" w:space="0"/>
            <w:right w:val="dashSmallGap" w:color="000000" w:sz="4" w:space="0"/>
            <w:insideH w:val="dashSmallGap" w:color="000000" w:sz="4" w:space="0"/>
            <w:insideV w:val="dashSmallGap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Mediators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US"/>
              </w:rPr>
            </w:pPr>
          </w:p>
        </w:tc>
      </w:tr>
      <w:tr>
        <w:tblPrEx>
          <w:tblBorders>
            <w:top w:val="dashSmallGap" w:color="000000" w:sz="4" w:space="0"/>
            <w:left w:val="dashSmallGap" w:color="000000" w:sz="4" w:space="0"/>
            <w:bottom w:val="dashSmallGap" w:color="000000" w:sz="4" w:space="0"/>
            <w:right w:val="dashSmallGap" w:color="000000" w:sz="4" w:space="0"/>
            <w:insideH w:val="dashSmallGap" w:color="000000" w:sz="4" w:space="0"/>
            <w:insideV w:val="dashSmallGap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Yellow card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difference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Integer value obtained by deducting the number of away red cards from the number of home red cards </w:t>
            </w:r>
          </w:p>
        </w:tc>
      </w:tr>
      <w:tr>
        <w:tblPrEx>
          <w:tblBorders>
            <w:top w:val="dashSmallGap" w:color="000000" w:sz="4" w:space="0"/>
            <w:left w:val="dashSmallGap" w:color="000000" w:sz="4" w:space="0"/>
            <w:bottom w:val="dashSmallGap" w:color="000000" w:sz="4" w:space="0"/>
            <w:right w:val="dashSmallGap" w:color="000000" w:sz="4" w:space="0"/>
            <w:insideH w:val="dashSmallGap" w:color="000000" w:sz="4" w:space="0"/>
            <w:insideV w:val="dashSmallGap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Foul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difference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Integer value obtained by deducting the number of away red cards from the number of home red cards </w:t>
            </w:r>
          </w:p>
        </w:tc>
      </w:tr>
      <w:tr>
        <w:tblPrEx>
          <w:tblBorders>
            <w:top w:val="dashSmallGap" w:color="000000" w:sz="4" w:space="0"/>
            <w:left w:val="dashSmallGap" w:color="000000" w:sz="4" w:space="0"/>
            <w:bottom w:val="dashSmallGap" w:color="000000" w:sz="4" w:space="0"/>
            <w:right w:val="dashSmallGap" w:color="000000" w:sz="4" w:space="0"/>
            <w:insideH w:val="dashSmallGap" w:color="000000" w:sz="4" w:space="0"/>
            <w:insideV w:val="dashSmallGap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Red Card difference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Integer value obtained by deducting the number of away red cards from the number of home red cards </w:t>
            </w:r>
          </w:p>
        </w:tc>
      </w:tr>
      <w:tr>
        <w:tblPrEx>
          <w:tblBorders>
            <w:top w:val="dashSmallGap" w:color="000000" w:sz="4" w:space="0"/>
            <w:left w:val="dashSmallGap" w:color="000000" w:sz="4" w:space="0"/>
            <w:bottom w:val="dashSmallGap" w:color="000000" w:sz="4" w:space="0"/>
            <w:right w:val="dashSmallGap" w:color="000000" w:sz="4" w:space="0"/>
            <w:insideH w:val="dashSmallGap" w:color="000000" w:sz="4" w:space="0"/>
            <w:insideV w:val="dashSmallGap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Independent variables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dashSmallGap" w:color="000000" w:sz="4" w:space="0"/>
            <w:left w:val="dashSmallGap" w:color="000000" w:sz="4" w:space="0"/>
            <w:bottom w:val="dashSmallGap" w:color="000000" w:sz="4" w:space="0"/>
            <w:right w:val="dashSmallGap" w:color="000000" w:sz="4" w:space="0"/>
            <w:insideH w:val="dashSmallGap" w:color="000000" w:sz="4" w:space="0"/>
            <w:insideV w:val="dashSmallGap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Covid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1 = match played post-covid   0 = match played pre covid</w:t>
            </w:r>
          </w:p>
        </w:tc>
      </w:tr>
      <w:tr>
        <w:tblPrEx>
          <w:tblBorders>
            <w:top w:val="dashSmallGap" w:color="000000" w:sz="4" w:space="0"/>
            <w:left w:val="dashSmallGap" w:color="000000" w:sz="4" w:space="0"/>
            <w:bottom w:val="dashSmallGap" w:color="000000" w:sz="4" w:space="0"/>
            <w:right w:val="dashSmallGap" w:color="000000" w:sz="4" w:space="0"/>
            <w:insideH w:val="dashSmallGap" w:color="000000" w:sz="4" w:space="0"/>
            <w:insideV w:val="dashSmallGap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Control variables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GB" w:eastAsia="en-US"/>
              </w:rPr>
            </w:pPr>
          </w:p>
        </w:tc>
      </w:tr>
      <w:tr>
        <w:tblPrEx>
          <w:tblBorders>
            <w:top w:val="dashSmallGap" w:color="000000" w:sz="4" w:space="0"/>
            <w:left w:val="dashSmallGap" w:color="000000" w:sz="4" w:space="0"/>
            <w:bottom w:val="dashSmallGap" w:color="000000" w:sz="4" w:space="0"/>
            <w:right w:val="dashSmallGap" w:color="000000" w:sz="4" w:space="0"/>
            <w:insideH w:val="dashSmallGap" w:color="000000" w:sz="4" w:space="0"/>
            <w:insideV w:val="dashSmallGap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Rating difference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Number between -100 and 100 obtained by deducting away team strength rating from home team strength rating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 xml:space="preserve"> </w:t>
            </w:r>
          </w:p>
        </w:tc>
      </w:tr>
      <w:tr>
        <w:tblPrEx>
          <w:tblBorders>
            <w:top w:val="dashSmallGap" w:color="000000" w:sz="4" w:space="0"/>
            <w:left w:val="dashSmallGap" w:color="000000" w:sz="4" w:space="0"/>
            <w:bottom w:val="dashSmallGap" w:color="000000" w:sz="4" w:space="0"/>
            <w:right w:val="dashSmallGap" w:color="000000" w:sz="4" w:space="0"/>
            <w:insideH w:val="dashSmallGap" w:color="000000" w:sz="4" w:space="0"/>
            <w:insideV w:val="dashSmallGap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Importance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difference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Number between -100 and 100 obtained by deducting away team match importance from home team match performance</w:t>
            </w:r>
          </w:p>
        </w:tc>
      </w:tr>
      <w:tr>
        <w:tblPrEx>
          <w:tblBorders>
            <w:top w:val="dashSmallGap" w:color="000000" w:sz="4" w:space="0"/>
            <w:left w:val="dashSmallGap" w:color="000000" w:sz="4" w:space="0"/>
            <w:bottom w:val="dashSmallGap" w:color="000000" w:sz="4" w:space="0"/>
            <w:right w:val="dashSmallGap" w:color="000000" w:sz="4" w:space="0"/>
            <w:insideH w:val="dashSmallGap" w:color="000000" w:sz="4" w:space="0"/>
            <w:insideV w:val="dashSmallGap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VAR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1 if VAR technology was available  0 if not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6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2159"/>
        <w:gridCol w:w="17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15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72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During Covid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872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87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wins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87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Points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87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Goals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87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Expected Goals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87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Yellow cards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87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Fouls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87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Red Cards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7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Wins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7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Points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7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Goals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7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Expected Goals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7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Yellow Cards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7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Fouls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7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Red Cards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lang w:val="en-GB"/>
        </w:rPr>
      </w:pPr>
    </w:p>
    <w:sectPr>
      <w:pgSz w:w="11906" w:h="16838"/>
      <w:pgMar w:top="1418" w:right="1418" w:bottom="1418" w:left="1418" w:header="709" w:footer="709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06"/>
    <w:rsid w:val="00120CBC"/>
    <w:rsid w:val="003F541F"/>
    <w:rsid w:val="005A0306"/>
    <w:rsid w:val="00765CB4"/>
    <w:rsid w:val="00A9475A"/>
    <w:rsid w:val="00EC3FFC"/>
    <w:rsid w:val="00FE0A19"/>
    <w:rsid w:val="01C761A5"/>
    <w:rsid w:val="076E4649"/>
    <w:rsid w:val="0A602A5D"/>
    <w:rsid w:val="120F63AD"/>
    <w:rsid w:val="16860A93"/>
    <w:rsid w:val="17AE4C79"/>
    <w:rsid w:val="1E830A52"/>
    <w:rsid w:val="286E6DF9"/>
    <w:rsid w:val="2AF47973"/>
    <w:rsid w:val="2D0301CB"/>
    <w:rsid w:val="32983EDA"/>
    <w:rsid w:val="3DDE4C10"/>
    <w:rsid w:val="4F127CCB"/>
    <w:rsid w:val="50BB052E"/>
    <w:rsid w:val="526007C7"/>
    <w:rsid w:val="52CF1DA6"/>
    <w:rsid w:val="58277809"/>
    <w:rsid w:val="5A4E0077"/>
    <w:rsid w:val="5ECD27BF"/>
    <w:rsid w:val="63D81F08"/>
    <w:rsid w:val="66581590"/>
    <w:rsid w:val="665D11CC"/>
    <w:rsid w:val="67DF2C8B"/>
    <w:rsid w:val="68771DD0"/>
    <w:rsid w:val="79407F67"/>
    <w:rsid w:val="7D11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l-NL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qFormat/>
    <w:uiPriority w:val="0"/>
    <w:rPr>
      <w:sz w:val="16"/>
      <w:szCs w:val="16"/>
    </w:rPr>
  </w:style>
  <w:style w:type="paragraph" w:styleId="5">
    <w:name w:val="annotation text"/>
    <w:basedOn w:val="1"/>
    <w:qFormat/>
    <w:uiPriority w:val="0"/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103</Words>
  <Characters>570</Characters>
  <Lines>4</Lines>
  <Paragraphs>1</Paragraphs>
  <TotalTime>10</TotalTime>
  <ScaleCrop>false</ScaleCrop>
  <LinksUpToDate>false</LinksUpToDate>
  <CharactersWithSpaces>672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2021-04-12T10:55:00Z</dcterms:created>
  <dc:creator>G.W.J. van Bussel</dc:creator>
  <cp:lastModifiedBy>alanr</cp:lastModifiedBy>
  <dcterms:modified xsi:type="dcterms:W3CDTF">2021-04-16T15:59:53Z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9f4804-9ab0-4527-a877-f7a87100f5fc_Enabled">
    <vt:lpwstr>true</vt:lpwstr>
  </property>
  <property fmtid="{D5CDD505-2E9C-101B-9397-08002B2CF9AE}" pid="3" name="MSIP_Label_b29f4804-9ab0-4527-a877-f7a87100f5fc_SetDate">
    <vt:lpwstr>2021-04-12T10:55:32Z</vt:lpwstr>
  </property>
  <property fmtid="{D5CDD505-2E9C-101B-9397-08002B2CF9AE}" pid="4" name="MSIP_Label_b29f4804-9ab0-4527-a877-f7a87100f5fc_Method">
    <vt:lpwstr>Standard</vt:lpwstr>
  </property>
  <property fmtid="{D5CDD505-2E9C-101B-9397-08002B2CF9AE}" pid="5" name="MSIP_Label_b29f4804-9ab0-4527-a877-f7a87100f5fc_Name">
    <vt:lpwstr>General</vt:lpwstr>
  </property>
  <property fmtid="{D5CDD505-2E9C-101B-9397-08002B2CF9AE}" pid="6" name="MSIP_Label_b29f4804-9ab0-4527-a877-f7a87100f5fc_SiteId">
    <vt:lpwstr>7a5561df-6599-4898-8a20-cce41db3b44f</vt:lpwstr>
  </property>
  <property fmtid="{D5CDD505-2E9C-101B-9397-08002B2CF9AE}" pid="7" name="MSIP_Label_b29f4804-9ab0-4527-a877-f7a87100f5fc_ActionId">
    <vt:lpwstr>18227e91-f650-416e-b18c-04cd94d20d59</vt:lpwstr>
  </property>
  <property fmtid="{D5CDD505-2E9C-101B-9397-08002B2CF9AE}" pid="8" name="MSIP_Label_b29f4804-9ab0-4527-a877-f7a87100f5fc_ContentBits">
    <vt:lpwstr>0</vt:lpwstr>
  </property>
  <property fmtid="{D5CDD505-2E9C-101B-9397-08002B2CF9AE}" pid="9" name="KSOProductBuildVer">
    <vt:lpwstr>1033-11.2.0.10101</vt:lpwstr>
  </property>
</Properties>
</file>