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Van hoofdstuk 1 naar 2 verplaatsen </w:t>
      </w:r>
    </w:p>
    <w:p>
      <w:pPr>
        <w:rPr>
          <w:rFonts w:hint="default"/>
          <w:lang w:val="en-US"/>
        </w:rPr>
      </w:pPr>
    </w:p>
    <w:p>
      <w:pPr>
        <w:rPr>
          <w:rFonts w:hint="default"/>
          <w:lang w:val="en-US"/>
        </w:rPr>
      </w:pPr>
    </w:p>
    <w:p>
      <w:pPr>
        <w:rPr>
          <w:rFonts w:hint="eastAsia" w:eastAsia="SimSun"/>
          <w:color w:val="auto"/>
          <w:lang w:eastAsia="zh-CN"/>
        </w:rPr>
      </w:pPr>
      <w:r>
        <w:rPr>
          <w:color w:val="auto"/>
        </w:rPr>
        <w:t xml:space="preserve">Fischer &amp; Haucap (2020) for example see a significant effect of </w:t>
      </w:r>
      <w:r>
        <w:rPr>
          <w:rFonts w:hint="default"/>
          <w:color w:val="auto"/>
          <w:lang w:val="en-US"/>
        </w:rPr>
        <w:t>stadium</w:t>
      </w:r>
      <w:r>
        <w:rPr>
          <w:color w:val="auto"/>
        </w:rPr>
        <w:t xml:space="preserve"> occupancy </w:t>
      </w:r>
      <w:r>
        <w:rPr>
          <w:rFonts w:hint="default"/>
          <w:color w:val="auto"/>
          <w:lang w:val="en-US"/>
        </w:rPr>
        <w:t xml:space="preserve">rate </w:t>
      </w:r>
      <w:r>
        <w:rPr>
          <w:color w:val="auto"/>
        </w:rPr>
        <w:t>on home team performance</w:t>
      </w:r>
      <w:r>
        <w:rPr>
          <w:rFonts w:hint="eastAsia" w:eastAsia="SimSun"/>
          <w:color w:val="auto"/>
          <w:lang w:eastAsia="zh-CN"/>
        </w:rPr>
        <w:t xml:space="preserve"> b</w:t>
      </w:r>
      <w:r>
        <w:rPr>
          <w:color w:val="auto"/>
        </w:rPr>
        <w:t xml:space="preserve">y comparing home advantage </w:t>
      </w:r>
      <w:r>
        <w:rPr>
          <w:rFonts w:hint="default"/>
          <w:color w:val="auto"/>
          <w:lang w:val="en-US"/>
        </w:rPr>
        <w:t xml:space="preserve">before and </w:t>
      </w:r>
      <w:r>
        <w:rPr>
          <w:color w:val="auto"/>
        </w:rPr>
        <w:t xml:space="preserve">during </w:t>
      </w:r>
      <w:r>
        <w:rPr>
          <w:color w:val="auto"/>
          <w:lang w:val="en-US"/>
        </w:rPr>
        <w:t>Covid</w:t>
      </w:r>
      <w:r>
        <w:rPr>
          <w:color w:val="auto"/>
        </w:rPr>
        <w:t>-19</w:t>
      </w:r>
      <w:r>
        <w:rPr>
          <w:rFonts w:hint="eastAsia" w:eastAsia="SimSun"/>
          <w:color w:val="auto"/>
          <w:lang w:eastAsia="zh-CN"/>
        </w:rPr>
        <w:t>.  Goumas</w:t>
      </w:r>
      <w:r>
        <w:rPr>
          <w:rFonts w:eastAsia="SimSun"/>
          <w:color w:val="auto"/>
          <w:lang w:eastAsia="zh-CN"/>
        </w:rPr>
        <w:t xml:space="preserve"> </w:t>
      </w:r>
      <w:r>
        <w:rPr>
          <w:rFonts w:hint="eastAsia" w:eastAsia="SimSun"/>
          <w:color w:val="auto"/>
          <w:lang w:eastAsia="zh-CN"/>
        </w:rPr>
        <w:t>(2013) and Nevill, Newell and Gale</w:t>
      </w:r>
      <w:r>
        <w:rPr>
          <w:rFonts w:eastAsia="SimSun"/>
          <w:color w:val="auto"/>
          <w:lang w:eastAsia="zh-CN"/>
        </w:rPr>
        <w:t xml:space="preserve"> </w:t>
      </w:r>
      <w:r>
        <w:rPr>
          <w:rFonts w:hint="eastAsia" w:eastAsia="SimSun"/>
          <w:color w:val="auto"/>
          <w:lang w:eastAsia="zh-CN"/>
        </w:rPr>
        <w:t xml:space="preserve">(1996) </w:t>
      </w:r>
    </w:p>
    <w:p>
      <w:pPr>
        <w:rPr>
          <w:rFonts w:hint="eastAsia" w:eastAsia="SimSun"/>
          <w:color w:val="auto"/>
          <w:lang w:eastAsia="zh-CN"/>
        </w:rPr>
      </w:pPr>
    </w:p>
    <w:p>
      <w:pPr>
        <w:rPr>
          <w:rFonts w:hint="eastAsia" w:eastAsia="SimSun"/>
          <w:color w:val="auto"/>
          <w:lang w:eastAsia="zh-CN"/>
        </w:rPr>
      </w:pPr>
    </w:p>
    <w:p>
      <w:r>
        <w:t>Pr</w:t>
      </w:r>
      <w:r>
        <w:rPr>
          <w:rFonts w:hint="default"/>
          <w:lang w:val="en-US"/>
        </w:rPr>
        <w:t>evious</w:t>
      </w:r>
      <w:r>
        <w:t xml:space="preserve"> research conducted by van de Ven (2016) signal a small effect of age on team performance, with </w:t>
      </w:r>
      <w:r>
        <w:rPr>
          <w:rFonts w:hint="default"/>
          <w:lang w:val="en-US"/>
        </w:rPr>
        <w:t>teams with a higher average age</w:t>
      </w:r>
      <w:r>
        <w:t xml:space="preserve"> performing slightly better away than </w:t>
      </w:r>
      <w:r>
        <w:rPr>
          <w:rFonts w:hint="default"/>
          <w:lang w:val="en-US"/>
        </w:rPr>
        <w:t>teams with a lower average age</w:t>
      </w:r>
      <w:r>
        <w:t>.</w:t>
      </w:r>
    </w:p>
    <w:p/>
    <w:p/>
    <w:p/>
    <w:p/>
    <w:p>
      <w:pPr>
        <w:pStyle w:val="4"/>
        <w:spacing w:line="360" w:lineRule="auto"/>
        <w:ind w:left="0" w:right="117"/>
        <w:jc w:val="both"/>
      </w:pPr>
      <w:r>
        <w:t>Goumas (2014) finds that home teams on average win more games, collect more points</w:t>
      </w:r>
      <w:r>
        <w:rPr>
          <w:rFonts w:hint="default"/>
          <w:lang w:val="en-US"/>
        </w:rPr>
        <w:t>,</w:t>
      </w:r>
      <w:r>
        <w:t xml:space="preserve"> and score more goals than away teams. The authors findings resonate with results from earlier studies such as those conducted by Clarke </w:t>
      </w:r>
      <w:r>
        <w:rPr>
          <w:rFonts w:hint="default"/>
          <w:lang w:val="en-US"/>
        </w:rPr>
        <w:t>and</w:t>
      </w:r>
      <w:r>
        <w:t xml:space="preserve"> Norman</w:t>
      </w:r>
      <w:r>
        <w:rPr>
          <w:rFonts w:hint="default"/>
          <w:lang w:val="en-US"/>
        </w:rPr>
        <w:t xml:space="preserve"> (</w:t>
      </w:r>
      <w:r>
        <w:t>1995</w:t>
      </w:r>
      <w:r>
        <w:rPr>
          <w:rFonts w:hint="default"/>
          <w:lang w:val="en-US"/>
        </w:rPr>
        <w:t xml:space="preserve">) and </w:t>
      </w:r>
      <w:r>
        <w:t xml:space="preserve">Pollard, </w:t>
      </w:r>
      <w:r>
        <w:rPr>
          <w:rFonts w:hint="default"/>
          <w:lang w:val="en-US"/>
        </w:rPr>
        <w:t>(</w:t>
      </w:r>
      <w:r>
        <w:t>2006</w:t>
      </w:r>
      <w:r>
        <w:rPr>
          <w:rFonts w:hint="default"/>
          <w:lang w:val="en-US"/>
        </w:rPr>
        <w:t>)</w:t>
      </w:r>
      <w:r>
        <w:t xml:space="preserve">. </w:t>
      </w:r>
      <w:r>
        <w:rPr>
          <w:rFonts w:hint="default"/>
          <w:lang w:val="en-US"/>
        </w:rPr>
        <w:t>Both</w:t>
      </w:r>
      <w:r>
        <w:t xml:space="preserve"> studies found a </w:t>
      </w:r>
      <w:r>
        <w:rPr>
          <w:rFonts w:hint="default"/>
          <w:lang w:val="en-US"/>
        </w:rPr>
        <w:t>continual</w:t>
      </w:r>
      <w:r>
        <w:t xml:space="preserve"> advantage for teams playing at home across countries and time. However, the exact source of home advantage and the role of crowd support herein remains debatable.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xml:space="preserve">) for example negate the role of crowd support in the formation of home advantage whereas Smith (2003) argues that the performance boost for home teams as a consequence of crowd support </w:t>
      </w:r>
      <w:r>
        <w:rPr>
          <w:rFonts w:hint="default"/>
          <w:lang w:val="en-US"/>
        </w:rPr>
        <w:t>is</w:t>
      </w:r>
      <w:r>
        <w:t xml:space="preserve"> the main driver of home advantage. Crowd support </w:t>
      </w:r>
      <w:r>
        <w:rPr>
          <w:rFonts w:hint="default"/>
          <w:lang w:val="en-US"/>
        </w:rPr>
        <w:t xml:space="preserve">could </w:t>
      </w:r>
      <w:r>
        <w:t>also affect match outcome through referees decision</w:t>
      </w:r>
      <w:r>
        <w:rPr>
          <w:rFonts w:hint="default"/>
          <w:lang w:val="en-US"/>
        </w:rPr>
        <w:t>s</w:t>
      </w:r>
      <w:r>
        <w:t>.</w:t>
      </w:r>
      <w:r>
        <w:rPr>
          <w:color w:val="ED7D31" w:themeColor="accent2"/>
          <w14:textFill>
            <w14:solidFill>
              <w14:schemeClr w14:val="accent2"/>
            </w14:solidFill>
          </w14:textFill>
        </w:rPr>
        <w:t xml:space="preserve"> </w:t>
      </w:r>
      <w:r>
        <w:rPr>
          <w:rFonts w:hint="default"/>
          <w:color w:val="auto"/>
          <w:lang w:val="en-US"/>
        </w:rPr>
        <w:t>(</w:t>
      </w:r>
      <w:r>
        <w:t>Bokyo</w:t>
      </w:r>
      <w:r>
        <w:rPr>
          <w:rFonts w:hint="default"/>
          <w:lang w:val="en-US"/>
        </w:rPr>
        <w:t xml:space="preserve">, </w:t>
      </w:r>
      <w:r>
        <w:t>2007</w:t>
      </w:r>
      <w:r>
        <w:rPr>
          <w:rFonts w:hint="default"/>
          <w:lang w:val="en-US"/>
        </w:rPr>
        <w:t xml:space="preserve">; </w:t>
      </w:r>
      <w:r>
        <w:t>Neville</w:t>
      </w:r>
      <w:r>
        <w:rPr>
          <w:rFonts w:hint="default"/>
          <w:lang w:val="en-US"/>
        </w:rPr>
        <w:t xml:space="preserve"> &amp; </w:t>
      </w:r>
      <w:r>
        <w:t>Holder</w:t>
      </w:r>
      <w:r>
        <w:rPr>
          <w:rFonts w:hint="default"/>
          <w:lang w:val="en-US"/>
        </w:rPr>
        <w:t xml:space="preserve">, </w:t>
      </w:r>
      <w:r>
        <w:t>1999) find that crowds could influence referee decisions subconsciously in favor of the home team. This favoritism is often named the “referee bias”</w:t>
      </w:r>
      <w:r>
        <w:rPr>
          <w:rFonts w:hint="default"/>
          <w:lang w:val="en-US"/>
        </w:rPr>
        <w:t xml:space="preserve">, a </w:t>
      </w:r>
      <w:r>
        <w:t xml:space="preserve">term we will use as well in our research from now on. Endrich &amp; Gesche (2020) quantify the referee bias in their paper where they find that away teams on average receive 0.3 cards less and home teams 0.5 cards more per match when there are no spectators. </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rPr>
      </w:pPr>
      <w:r>
        <w:rPr>
          <w:rFonts w:hint="default"/>
          <w:lang w:val="en-US"/>
        </w:rPr>
        <w:t>A second stream of literature focuses on the</w:t>
      </w:r>
    </w:p>
    <w:p>
      <w:pPr>
        <w:rPr>
          <w:rFonts w:hint="default"/>
          <w:lang w:val="en-US"/>
        </w:rPr>
      </w:pPr>
    </w:p>
    <w:p>
      <w:pPr>
        <w:rPr>
          <w:rFonts w:hint="default"/>
          <w:lang w:val="en-US"/>
        </w:rPr>
      </w:pPr>
    </w:p>
    <w:p>
      <w:pPr>
        <w:rPr>
          <w:rFonts w:hint="default"/>
          <w:lang w:val="en-US"/>
        </w:rPr>
      </w:pPr>
      <w:r>
        <w:rPr>
          <w:rFonts w:hint="default"/>
          <w:lang w:val="en-US"/>
        </w:rPr>
        <w:t>where extant research is sparse. The only paper that we have knowledge about that examines the effect of age on home and away team performance is</w:t>
      </w:r>
    </w:p>
    <w:p>
      <w:pPr>
        <w:rPr>
          <w:rFonts w:hint="default"/>
          <w:lang w:val="en-US"/>
        </w:rPr>
      </w:pPr>
    </w:p>
    <w:p>
      <w:pPr>
        <w:rPr>
          <w:rFonts w:hint="default"/>
          <w:lang w:val="en-US"/>
        </w:rPr>
      </w:pPr>
    </w:p>
    <w:p>
      <w:pPr>
        <w:rPr>
          <w:rFonts w:hint="default"/>
          <w:lang w:val="en-US"/>
        </w:rPr>
      </w:pPr>
    </w:p>
    <w:p>
      <w:pPr>
        <w:spacing w:line="360" w:lineRule="auto"/>
        <w:rPr>
          <w:rFonts w:hint="default" w:ascii="Times New Roman" w:hAnsi="Times New Roman" w:cs="Times New Roman"/>
          <w:color w:val="70AD47" w:themeColor="accent6"/>
          <w:sz w:val="24"/>
          <w:szCs w:val="24"/>
          <w:lang w:val="en-US"/>
          <w14:textFill>
            <w14:solidFill>
              <w14:schemeClr w14:val="accent6"/>
            </w14:solidFill>
          </w14:textFill>
        </w:rPr>
      </w:pPr>
      <w:r>
        <w:rPr>
          <w:rFonts w:ascii="Times New Roman" w:hAnsi="Times New Roman" w:cs="Times New Roman"/>
          <w:color w:val="70AD47" w:themeColor="accent6"/>
          <w:sz w:val="24"/>
          <w:szCs w:val="24"/>
          <w14:textFill>
            <w14:solidFill>
              <w14:schemeClr w14:val="accent6"/>
            </w14:solidFill>
          </w14:textFill>
        </w:rPr>
        <w:t>This thesis is divided into 5 chapters. The first chapter serves as a background chapter for the rest of the thesis in which we outline the concept to be researched in combination with the academic and managerial relevance</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r>
        <w:rPr>
          <w:rFonts w:ascii="Times New Roman" w:hAnsi="Times New Roman" w:cs="Times New Roman"/>
          <w:color w:val="70AD47" w:themeColor="accent6"/>
          <w:sz w:val="24"/>
          <w:szCs w:val="24"/>
          <w14:textFill>
            <w14:solidFill>
              <w14:schemeClr w14:val="accent6"/>
            </w14:solidFill>
          </w14:textFill>
        </w:rPr>
        <w:t xml:space="preserve"> In the second chapter we construct the theoretical framework that will represent the basis of the empirical analysis in the later sections.</w:t>
      </w:r>
      <w:r>
        <w:rPr>
          <w:rFonts w:hint="default" w:ascii="Times New Roman" w:hAnsi="Times New Roman" w:cs="Times New Roman"/>
          <w:color w:val="70AD47" w:themeColor="accent6"/>
          <w:sz w:val="24"/>
          <w:szCs w:val="24"/>
          <w:lang w:val="en-US"/>
          <w14:textFill>
            <w14:solidFill>
              <w14:schemeClr w14:val="accent6"/>
            </w14:solidFill>
          </w14:textFill>
        </w:rPr>
        <w:t>We</w:t>
      </w:r>
      <w:r>
        <w:rPr>
          <w:rFonts w:ascii="Times New Roman" w:hAnsi="Times New Roman" w:cs="Times New Roman"/>
          <w:color w:val="70AD47" w:themeColor="accent6"/>
          <w:sz w:val="24"/>
          <w:szCs w:val="24"/>
          <w14:textFill>
            <w14:solidFill>
              <w14:schemeClr w14:val="accent6"/>
            </w14:solidFill>
          </w14:textFill>
        </w:rPr>
        <w:t xml:space="preserve"> analyze the current literature to obtain an overview of what is currently known</w:t>
      </w:r>
      <w:r>
        <w:rPr>
          <w:rFonts w:hint="default" w:ascii="Times New Roman" w:hAnsi="Times New Roman" w:cs="Times New Roman"/>
          <w:color w:val="70AD47" w:themeColor="accent6"/>
          <w:sz w:val="24"/>
          <w:szCs w:val="24"/>
          <w:lang w:val="en-US"/>
          <w14:textFill>
            <w14:solidFill>
              <w14:schemeClr w14:val="accent6"/>
            </w14:solidFill>
          </w14:textFill>
        </w:rPr>
        <w:t xml:space="preserve"> and</w:t>
      </w:r>
      <w:r>
        <w:rPr>
          <w:rFonts w:ascii="Times New Roman" w:hAnsi="Times New Roman" w:cs="Times New Roman"/>
          <w:color w:val="70AD47" w:themeColor="accent6"/>
          <w:sz w:val="24"/>
          <w:szCs w:val="24"/>
          <w14:textFill>
            <w14:solidFill>
              <w14:schemeClr w14:val="accent6"/>
            </w14:solidFill>
          </w14:textFill>
        </w:rPr>
        <w:t xml:space="preserve"> define the conceptual framework that serves as overview of the relationships we examine. In chapter 3 we </w:t>
      </w:r>
      <w:r>
        <w:rPr>
          <w:rFonts w:hint="default" w:ascii="Times New Roman" w:hAnsi="Times New Roman" w:cs="Times New Roman"/>
          <w:color w:val="70AD47" w:themeColor="accent6"/>
          <w:sz w:val="24"/>
          <w:szCs w:val="24"/>
          <w:lang w:val="en-US"/>
          <w14:textFill>
            <w14:solidFill>
              <w14:schemeClr w14:val="accent6"/>
            </w14:solidFill>
          </w14:textFill>
        </w:rPr>
        <w:t>meticulously</w:t>
      </w:r>
      <w:r>
        <w:rPr>
          <w:rFonts w:ascii="Times New Roman" w:hAnsi="Times New Roman" w:cs="Times New Roman"/>
          <w:color w:val="70AD47" w:themeColor="accent6"/>
          <w:sz w:val="24"/>
          <w:szCs w:val="24"/>
          <w14:textFill>
            <w14:solidFill>
              <w14:schemeClr w14:val="accent6"/>
            </w14:solidFill>
          </w14:textFill>
        </w:rPr>
        <w:t xml:space="preserve"> describe the data set and the variables we use to define the concepts that we want to analyze. </w:t>
      </w:r>
      <w:r>
        <w:rPr>
          <w:rFonts w:hint="default" w:ascii="Times New Roman" w:hAnsi="Times New Roman" w:cs="Times New Roman"/>
          <w:color w:val="70AD47" w:themeColor="accent6"/>
          <w:sz w:val="24"/>
          <w:szCs w:val="24"/>
          <w:lang w:val="en-US"/>
          <w14:textFill>
            <w14:solidFill>
              <w14:schemeClr w14:val="accent6"/>
            </w14:solidFill>
          </w14:textFill>
        </w:rPr>
        <w:t>Once those concepts are defined, we provide</w:t>
      </w:r>
      <w:r>
        <w:rPr>
          <w:rFonts w:ascii="Times New Roman" w:hAnsi="Times New Roman" w:cs="Times New Roman"/>
          <w:color w:val="70AD47" w:themeColor="accent6"/>
          <w:sz w:val="24"/>
          <w:szCs w:val="24"/>
          <w14:textFill>
            <w14:solidFill>
              <w14:schemeClr w14:val="accent6"/>
            </w14:solidFill>
          </w14:textFill>
        </w:rPr>
        <w:t xml:space="preserve"> model free evidence to examine trends in home and away team performance. </w:t>
      </w:r>
      <w:r>
        <w:rPr>
          <w:rFonts w:hint="default" w:ascii="Times New Roman" w:hAnsi="Times New Roman" w:cs="Times New Roman"/>
          <w:color w:val="70AD47" w:themeColor="accent6"/>
          <w:sz w:val="24"/>
          <w:szCs w:val="24"/>
          <w:lang w:val="en-US"/>
          <w14:textFill>
            <w14:solidFill>
              <w14:schemeClr w14:val="accent6"/>
            </w14:solidFill>
          </w14:textFill>
        </w:rPr>
        <w:t>B</w:t>
      </w:r>
      <w:r>
        <w:rPr>
          <w:rFonts w:ascii="Times New Roman" w:hAnsi="Times New Roman" w:cs="Times New Roman"/>
          <w:color w:val="70AD47" w:themeColor="accent6"/>
          <w:sz w:val="24"/>
          <w:szCs w:val="24"/>
          <w14:textFill>
            <w14:solidFill>
              <w14:schemeClr w14:val="accent6"/>
            </w14:solidFill>
          </w14:textFill>
        </w:rPr>
        <w:t xml:space="preserve">ased </w:t>
      </w:r>
      <w:r>
        <w:rPr>
          <w:rFonts w:hint="default" w:ascii="Times New Roman" w:hAnsi="Times New Roman" w:cs="Times New Roman"/>
          <w:color w:val="70AD47" w:themeColor="accent6"/>
          <w:sz w:val="24"/>
          <w:szCs w:val="24"/>
          <w:lang w:val="en-US"/>
          <w14:textFill>
            <w14:solidFill>
              <w14:schemeClr w14:val="accent6"/>
            </w14:solidFill>
          </w14:textFill>
        </w:rPr>
        <w:t xml:space="preserve">on our findings from the </w:t>
      </w:r>
      <w:r>
        <w:rPr>
          <w:rFonts w:ascii="Times New Roman" w:hAnsi="Times New Roman" w:cs="Times New Roman"/>
          <w:color w:val="70AD47" w:themeColor="accent6"/>
          <w:sz w:val="24"/>
          <w:szCs w:val="24"/>
          <w14:textFill>
            <w14:solidFill>
              <w14:schemeClr w14:val="accent6"/>
            </w14:solidFill>
          </w14:textFill>
        </w:rPr>
        <w:t xml:space="preserve">variable selection and data structure, we elect the most suitable method of analysis. In the fourth chapter we summarize the analysis and findings of our model to answer the empirical questions. </w:t>
      </w:r>
      <w:r>
        <w:rPr>
          <w:rFonts w:hint="default" w:ascii="Times New Roman" w:hAnsi="Times New Roman" w:cs="Times New Roman"/>
          <w:color w:val="70AD47" w:themeColor="accent6"/>
          <w:sz w:val="24"/>
          <w:szCs w:val="24"/>
          <w:lang w:val="en-US"/>
          <w14:textFill>
            <w14:solidFill>
              <w14:schemeClr w14:val="accent6"/>
            </w14:solidFill>
          </w14:textFill>
        </w:rPr>
        <w:t>To maintain stability in our findings</w:t>
      </w:r>
      <w:r>
        <w:rPr>
          <w:rFonts w:ascii="Times New Roman" w:hAnsi="Times New Roman" w:cs="Times New Roman"/>
          <w:color w:val="70AD47" w:themeColor="accent6"/>
          <w:sz w:val="24"/>
          <w:szCs w:val="24"/>
          <w14:textFill>
            <w14:solidFill>
              <w14:schemeClr w14:val="accent6"/>
            </w14:solidFill>
          </w14:textFill>
        </w:rPr>
        <w:t>, we extend our model with a robustness chec</w:t>
      </w:r>
      <w:r>
        <w:rPr>
          <w:rFonts w:hint="default" w:ascii="Times New Roman" w:hAnsi="Times New Roman" w:cs="Times New Roman"/>
          <w:color w:val="70AD47" w:themeColor="accent6"/>
          <w:sz w:val="24"/>
          <w:szCs w:val="24"/>
          <w:lang w:val="en-US"/>
          <w14:textFill>
            <w14:solidFill>
              <w14:schemeClr w14:val="accent6"/>
            </w14:solidFill>
          </w14:textFill>
        </w:rPr>
        <w:t>k</w:t>
      </w:r>
      <w:r>
        <w:rPr>
          <w:rFonts w:ascii="Times New Roman" w:hAnsi="Times New Roman" w:cs="Times New Roman"/>
          <w:color w:val="70AD47" w:themeColor="accent6"/>
          <w:sz w:val="24"/>
          <w:szCs w:val="24"/>
          <w14:textFill>
            <w14:solidFill>
              <w14:schemeClr w14:val="accent6"/>
            </w14:solidFill>
          </w14:textFill>
        </w:rPr>
        <w:t xml:space="preserve">. </w:t>
      </w:r>
      <w:r>
        <w:rPr>
          <w:rFonts w:hint="default" w:ascii="Times New Roman" w:hAnsi="Times New Roman" w:cs="Times New Roman"/>
          <w:color w:val="70AD47" w:themeColor="accent6"/>
          <w:sz w:val="24"/>
          <w:szCs w:val="24"/>
          <w:lang w:val="en-US"/>
          <w14:textFill>
            <w14:solidFill>
              <w14:schemeClr w14:val="accent6"/>
            </w14:solidFill>
          </w14:textFill>
        </w:rPr>
        <w:t>Finally, i</w:t>
      </w:r>
      <w:r>
        <w:rPr>
          <w:rFonts w:ascii="Times New Roman" w:hAnsi="Times New Roman" w:cs="Times New Roman"/>
          <w:color w:val="70AD47" w:themeColor="accent6"/>
          <w:sz w:val="24"/>
          <w:szCs w:val="24"/>
          <w14:textFill>
            <w14:solidFill>
              <w14:schemeClr w14:val="accent6"/>
            </w14:solidFill>
          </w14:textFill>
        </w:rPr>
        <w:t xml:space="preserve">n our </w:t>
      </w:r>
      <w:r>
        <w:rPr>
          <w:rFonts w:hint="default" w:ascii="Times New Roman" w:hAnsi="Times New Roman" w:cs="Times New Roman"/>
          <w:color w:val="70AD47" w:themeColor="accent6"/>
          <w:sz w:val="24"/>
          <w:szCs w:val="24"/>
          <w:lang w:val="en-US"/>
          <w14:textFill>
            <w14:solidFill>
              <w14:schemeClr w14:val="accent6"/>
            </w14:solidFill>
          </w14:textFill>
        </w:rPr>
        <w:t xml:space="preserve">last </w:t>
      </w:r>
      <w:r>
        <w:rPr>
          <w:rFonts w:ascii="Times New Roman" w:hAnsi="Times New Roman" w:cs="Times New Roman"/>
          <w:color w:val="70AD47" w:themeColor="accent6"/>
          <w:sz w:val="24"/>
          <w:szCs w:val="24"/>
          <w14:textFill>
            <w14:solidFill>
              <w14:schemeClr w14:val="accent6"/>
            </w14:solidFill>
          </w14:textFill>
        </w:rPr>
        <w:t xml:space="preserve">chapter, we generate conclusions and recommendations based on our findings. </w:t>
      </w:r>
      <w:r>
        <w:rPr>
          <w:rFonts w:hint="default" w:ascii="Times New Roman" w:hAnsi="Times New Roman" w:cs="Times New Roman"/>
          <w:color w:val="70AD47" w:themeColor="accent6"/>
          <w:sz w:val="24"/>
          <w:szCs w:val="24"/>
          <w:lang w:val="en-US"/>
          <w14:textFill>
            <w14:solidFill>
              <w14:schemeClr w14:val="accent6"/>
            </w14:solidFill>
          </w14:textFill>
        </w:rPr>
        <w:t xml:space="preserve">This chapter will </w:t>
      </w:r>
      <w:r>
        <w:rPr>
          <w:rFonts w:ascii="Times New Roman" w:hAnsi="Times New Roman" w:cs="Times New Roman"/>
          <w:color w:val="70AD47" w:themeColor="accent6"/>
          <w:sz w:val="24"/>
          <w:szCs w:val="24"/>
          <w14:textFill>
            <w14:solidFill>
              <w14:schemeClr w14:val="accent6"/>
            </w14:solidFill>
          </w14:textFill>
        </w:rPr>
        <w:t xml:space="preserve">provide </w:t>
      </w:r>
      <w:r>
        <w:rPr>
          <w:rFonts w:ascii="Times New Roman" w:hAnsi="Times New Roman" w:cs="Times New Roman"/>
          <w:color w:val="70AD47" w:themeColor="accent6"/>
          <w:sz w:val="24"/>
          <w:szCs w:val="24"/>
          <w:lang w:val="en-US"/>
          <w14:textFill>
            <w14:solidFill>
              <w14:schemeClr w14:val="accent6"/>
            </w14:solidFill>
          </w14:textFill>
        </w:rPr>
        <w:t>soccer</w:t>
      </w:r>
      <w:r>
        <w:rPr>
          <w:rFonts w:ascii="Times New Roman" w:hAnsi="Times New Roman" w:cs="Times New Roman"/>
          <w:color w:val="70AD47" w:themeColor="accent6"/>
          <w:sz w:val="24"/>
          <w:szCs w:val="24"/>
          <w14:textFill>
            <w14:solidFill>
              <w14:schemeClr w14:val="accent6"/>
            </w14:solidFill>
          </w14:textFill>
        </w:rPr>
        <w:t xml:space="preserve"> club management with deeper insights into the drivers of team performance at home, and to what extent these can be influenced by management. </w:t>
      </w:r>
      <w:r>
        <w:rPr>
          <w:rFonts w:hint="default" w:ascii="Times New Roman" w:hAnsi="Times New Roman" w:cs="Times New Roman"/>
          <w:color w:val="70AD47" w:themeColor="accent6"/>
          <w:sz w:val="24"/>
          <w:szCs w:val="24"/>
          <w:lang w:val="en-US"/>
          <w14:textFill>
            <w14:solidFill>
              <w14:schemeClr w14:val="accent6"/>
            </w14:solidFill>
          </w14:textFill>
        </w:rPr>
        <w:t>In contrast</w:t>
      </w:r>
      <w:r>
        <w:rPr>
          <w:rFonts w:ascii="Times New Roman" w:hAnsi="Times New Roman" w:cs="Times New Roman"/>
          <w:color w:val="70AD47" w:themeColor="accent6"/>
          <w:sz w:val="24"/>
          <w:szCs w:val="24"/>
          <w14:textFill>
            <w14:solidFill>
              <w14:schemeClr w14:val="accent6"/>
            </w14:solidFill>
          </w14:textFill>
        </w:rPr>
        <w:t>, we discuss the limitations of this study and provide a guideline for possible future research in this area</w:t>
      </w:r>
      <w:r>
        <w:rPr>
          <w:rFonts w:hint="default" w:ascii="Times New Roman" w:hAnsi="Times New Roman" w:cs="Times New Roman"/>
          <w:color w:val="70AD47" w:themeColor="accent6"/>
          <w:sz w:val="24"/>
          <w:szCs w:val="24"/>
          <w:lang w:val="en-US"/>
          <w14:textFill>
            <w14:solidFill>
              <w14:schemeClr w14:val="accent6"/>
            </w14:solidFill>
          </w14:textFill>
        </w:rPr>
        <w:t xml:space="preserve">. </w:t>
      </w:r>
    </w:p>
    <w:p>
      <w:pPr>
        <w:rPr>
          <w:rFonts w:hint="default"/>
          <w:lang w:val="en-US"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36759"/>
    <w:rsid w:val="0EE36759"/>
    <w:rsid w:val="57A25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pPr>
      <w:ind w:left="118"/>
    </w:pPr>
    <w:rPr>
      <w:rFonts w:ascii="Times New Roman" w:hAnsi="Times New Roman" w:eastAsia="Times New Roman" w:cs="Times New Roman"/>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2021-05-29T16:17:00Z</dcterms:created>
  <dc:creator>alanr</dc:creator>
  <cp:lastModifiedBy>alanr</cp:lastModifiedBy>
  <dcterms:modified xsi:type="dcterms:W3CDTF">2021-05-30T19:49:03Z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