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Amanda,</w:t>
      </w:r>
      <w:r>
        <w:t xml:space="preserve"> </w:t>
      </w:r>
      <w:r>
        <w:t xml:space="preserve">Nicole</w:t>
      </w:r>
      <w:r>
        <w:t xml:space="preserve"> </w:t>
      </w:r>
      <w:r>
        <w:t xml:space="preserve">and</w:t>
      </w:r>
      <w:r>
        <w:t xml:space="preserve"> </w:t>
      </w:r>
      <w:r>
        <w:t xml:space="preserve">Alex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bookmarkEnd w:id="21"/>
    <w:bookmarkStart w:id="22" w:name="sections"/>
    <w:p>
      <w:pPr>
        <w:pStyle w:val="Heading2"/>
      </w:pPr>
      <w:r>
        <w:t xml:space="preserve">3 Sections</w:t>
      </w:r>
    </w:p>
    <w:p>
      <w:pPr>
        <w:numPr>
          <w:ilvl w:val="0"/>
          <w:numId w:val="1003"/>
        </w:numPr>
        <w:pStyle w:val="Compact"/>
      </w:pPr>
      <w:r>
        <w:t xml:space="preserve">Introduction</w:t>
      </w:r>
    </w:p>
    <w:p>
      <w:pPr>
        <w:numPr>
          <w:ilvl w:val="0"/>
          <w:numId w:val="1003"/>
        </w:numPr>
        <w:pStyle w:val="Compact"/>
      </w:pPr>
      <w:r>
        <w:t xml:space="preserve">Material &amp; Methods</w:t>
      </w:r>
    </w:p>
    <w:p>
      <w:pPr>
        <w:numPr>
          <w:ilvl w:val="0"/>
          <w:numId w:val="1003"/>
        </w:numPr>
        <w:pStyle w:val="Compact"/>
      </w:pPr>
      <w:r>
        <w:t xml:space="preserve">Results</w:t>
      </w:r>
    </w:p>
    <w:p>
      <w:pPr>
        <w:numPr>
          <w:ilvl w:val="0"/>
          <w:numId w:val="1003"/>
        </w:numPr>
        <w:pStyle w:val="Compact"/>
      </w:pPr>
      <w:r>
        <w:t xml:space="preserve">Discussion</w:t>
      </w:r>
    </w:p>
    <w:bookmarkEnd w:id="22"/>
    <w:bookmarkStart w:id="29" w:name="polar-axis"/>
    <w:p>
      <w:pPr>
        <w:pStyle w:val="Heading2"/>
      </w:pPr>
      <w:r>
        <w:t xml:space="preserve">4 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polar"/>
          <w:p>
            <w:pPr>
              <w:pStyle w:val="SourceCode"/>
              <w:jc w:val="center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numpy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np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matplotlib.pyplot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plt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r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np.arange(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0.01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theta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np.pi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r</w:t>
            </w:r>
            <w:r>
              <w:br/>
            </w:r>
            <w:r>
              <w:rPr>
                <w:rStyle w:val="NormalTok"/>
              </w:rPr>
              <w:t xml:space="preserve">fig, ax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plt.subplots(</w:t>
            </w:r>
            <w:r>
              <w:br/>
            </w:r>
            <w:r>
              <w:rPr>
                <w:rStyle w:val="NormalTok"/>
              </w:rPr>
              <w:t xml:space="preserve">  subplot_kw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{</w:t>
            </w:r>
            <w:r>
              <w:rPr>
                <w:rStyle w:val="StringTok"/>
              </w:rPr>
              <w:t xml:space="preserve">'projection'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'polar'</w:t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ax.plot(theta, r)</w:t>
            </w:r>
            <w:r>
              <w:br/>
            </w:r>
            <w:r>
              <w:rPr>
                <w:rStyle w:val="NormalTok"/>
              </w:rPr>
              <w:t xml:space="preserve">ax.set_rticks([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1.5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])</w:t>
            </w:r>
            <w:r>
              <w:br/>
            </w:r>
            <w:r>
              <w:rPr>
                <w:rStyle w:val="NormalTok"/>
              </w:rPr>
              <w:t xml:space="preserve">ax.grid(</w:t>
            </w:r>
            <w:r>
              <w:rPr>
                <w:rStyle w:val="Variable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plt.show()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plt.savefig(</w:t>
            </w:r>
            <w:r>
              <w:rPr>
                <w:rStyle w:val="StringTok"/>
              </w:rPr>
              <w:t xml:space="preserve">"./fig-polar-output-2.png"</w:t>
            </w:r>
            <w:r>
              <w:rPr>
                <w:rStyle w:val="NormalTok"/>
              </w:rPr>
              <w:t xml:space="preserve">)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bookmarkStart w:id="26" w:name="fig-polar-1"/>
                <w:p>
                  <w:pPr>
                    <w:jc w:val="center"/>
                    <w:jc w:val="center"/>
                  </w:pPr>
                  <w:r>
                    <w:drawing>
                      <wp:inline>
                        <wp:extent cx="4184072" cy="4082472"/>
                        <wp:effectExtent b="0" l="0" r="0" t="0"/>
                        <wp:docPr descr="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hello_files/figure-docx/fig-polar-output-1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4072" cy="408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A line plot on a polar axis</w:t>
                  </w:r>
                </w:p>
                <w:bookmarkEnd w:id="26"/>
              </w:tc>
            </w:tr>
          </w:tbl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bookmarkStart w:id="27" w:name="fig-polar-2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&lt;Figure size 640x480 with 0 Axes&gt;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  <w:r>
                    <w:t xml:space="preserve"> </w:t>
                  </w:r>
                  <w:r>
                    <w:rPr>
                      <w:bCs/>
                      <w:b/>
                    </w:rPr>
                    <w:t xml:space="preserve">?(caption)</w:t>
                  </w:r>
                </w:p>
                <w:bookmarkEnd w:id="27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rPr>
                <w:bCs/>
                <w:b/>
              </w:rPr>
              <w:t xml:space="preserve">?(caption)</w:t>
            </w:r>
          </w:p>
          <w:bookmarkEnd w:id="28"/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Amanda, Nicole and Alex</dc:creator>
  <cp:keywords/>
  <dcterms:created xsi:type="dcterms:W3CDTF">2023-06-19T21:40:04Z</dcterms:created>
  <dcterms:modified xsi:type="dcterms:W3CDTF">2023-06-19T21:40:04Z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location">
    <vt:lpwstr>left</vt:lpwstr>
  </property>
  <property fmtid="{D5CDD505-2E9C-101B-9397-08002B2CF9AE}" pid="11" name="toc-title">
    <vt:lpwstr>Table of contents</vt:lpwstr>
  </property>
</Properties>
</file>