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rPr>
        <w:t xml:space="preserve">Annexure3b- Complete filing</w:t>
      </w:r>
    </w:p>
    <w:p/>
    <w:p>
      <w:pPr>
        <w:jc w:val="center"/>
      </w:pPr>
      <w:r>
        <w:rPr>
          <w:b/>
          <w:bCs/>
          <w:u w:val="single"/>
        </w:rPr>
        <w:t xml:space="preserve">INVENTION DISCLOSURE FORM</w:t>
      </w:r>
    </w:p>
    <w:p/>
    <w:p>
      <w:pPr>
        <w:spacing w:after="150"/>
      </w:pPr>
      <w:r>
        <w:t xml:space="preserve">Details of Invention for better understanding:</w:t>
      </w:r>
    </w:p>
    <w:p>
      <w:pPr>
        <w:spacing w:after="150"/>
      </w:pPr>
      <w:r>
        <w:rPr>
          <w:b/>
          <w:bCs/>
        </w:rPr>
        <w:t xml:space="preserve">TITLE:  </w:t>
      </w:r>
      <w:r>
        <w:t xml:space="preserve">Explainable Deep Learning System for Plant Leaf Disease Recognition using Faithfulness-Verified Grad-CAM Interpretability (PhytoVision)</w:t>
      </w:r>
    </w:p>
    <w:p>
      <w:pPr>
        <w:spacing w:after="100" w:before="150"/>
      </w:pPr>
      <w:r>
        <w:rPr>
          <w:b/>
          <w:bCs/>
        </w:rPr>
        <w:t xml:space="preserve">2. INTERNAL INVENTOR(S)/ STUDENT(S): </w:t>
      </w:r>
      <w:r>
        <w:t xml:space="preserve">All fields in this column are mandatory to be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A.  Full name</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Mobile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Email (personal)</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UID/Registration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Address of Internal Inventors</w:t>
            </w:r>
          </w:p>
        </w:tc>
        <w:tc>
          <w:tcPr>
            <w:tcW w:type="dxa" w:w="5860"/>
            <w:tcBorders>
              <w:top w:val="single" w:color="000000" w:sz="4"/>
              <w:left w:val="single" w:color="000000" w:sz="4"/>
              <w:bottom w:val="single" w:color="000000" w:sz="4"/>
              <w:right w:val="single" w:color="000000" w:sz="4"/>
            </w:tcBorders>
            <w:vAlign w:val="center"/>
          </w:tcPr>
          <w:p>
            <w:r>
              <w:t xml:space="preserve">Lovely Professional University, Punjab-144411, India</w:t>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Signature (Mandatory)</w:t>
            </w:r>
          </w:p>
        </w:tc>
        <w:tc>
          <w:tcPr>
            <w:tcW w:type="dxa" w:w="5860"/>
            <w:tcBorders>
              <w:top w:val="single" w:color="000000" w:sz="4"/>
              <w:left w:val="single" w:color="000000" w:sz="4"/>
              <w:bottom w:val="single" w:color="000000" w:sz="4"/>
              <w:right w:val="single" w:color="000000" w:sz="4"/>
            </w:tcBorders>
            <w:vAlign w:val="center"/>
          </w:tcPr>
          <w:p>
            <w:r>
              <w:t xml:space="preserve"/>
            </w:r>
          </w:p>
        </w:tc>
      </w:tr>
    </w:tbl>
    <w:p/>
    <w:p>
      <w:pPr>
        <w:spacing w:after="100" w:before="150"/>
      </w:pPr>
      <w:r>
        <w:rPr>
          <w:b/>
          <w:bCs/>
        </w:rPr>
        <w:t xml:space="preserve">INTERNAL INVENTOR(S)/ STUDENT(S): </w:t>
      </w:r>
      <w:r>
        <w:t xml:space="preserve">All fields in this column are mandatory to be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B.  Full name</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Mobile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Email (personal)</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UID/Registration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Address of Internal Inventors</w:t>
            </w:r>
          </w:p>
        </w:tc>
        <w:tc>
          <w:tcPr>
            <w:tcW w:type="dxa" w:w="5860"/>
            <w:tcBorders>
              <w:top w:val="single" w:color="000000" w:sz="4"/>
              <w:left w:val="single" w:color="000000" w:sz="4"/>
              <w:bottom w:val="single" w:color="000000" w:sz="4"/>
              <w:right w:val="single" w:color="000000" w:sz="4"/>
            </w:tcBorders>
            <w:vAlign w:val="center"/>
          </w:tcPr>
          <w:p>
            <w:r>
              <w:t xml:space="preserve">Lovely Professional University, Punjab-144411, India</w:t>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Signature (Mandatory)</w:t>
            </w:r>
          </w:p>
        </w:tc>
        <w:tc>
          <w:tcPr>
            <w:tcW w:type="dxa" w:w="5860"/>
            <w:tcBorders>
              <w:top w:val="single" w:color="000000" w:sz="4"/>
              <w:left w:val="single" w:color="000000" w:sz="4"/>
              <w:bottom w:val="single" w:color="000000" w:sz="4"/>
              <w:right w:val="single" w:color="000000" w:sz="4"/>
            </w:tcBorders>
            <w:vAlign w:val="center"/>
          </w:tcPr>
          <w:p>
            <w:r>
              <w:t xml:space="preserve"/>
            </w:r>
          </w:p>
        </w:tc>
      </w:tr>
    </w:tbl>
    <w:p/>
    <w:p>
      <w:pPr>
        <w:spacing w:after="100" w:before="150"/>
      </w:pPr>
      <w:r>
        <w:rPr>
          <w:b/>
          <w:bCs/>
        </w:rPr>
        <w:t xml:space="preserve">INTERNAL INVENTOR(S)/ STUDENT(S): </w:t>
      </w:r>
      <w:r>
        <w:t xml:space="preserve">All fields in this column are mandatory to be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C.  Full name</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Mobile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Email (personal)</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UID/Registration number</w:t>
            </w:r>
          </w:p>
        </w:tc>
        <w:tc>
          <w:tcPr>
            <w:tcW w:type="dxa" w:w="5860"/>
            <w:tcBorders>
              <w:top w:val="single" w:color="000000" w:sz="4"/>
              <w:left w:val="single" w:color="000000" w:sz="4"/>
              <w:bottom w:val="single" w:color="000000" w:sz="4"/>
              <w:right w:val="single" w:color="000000" w:sz="4"/>
            </w:tcBorders>
            <w:vAlign w:val="center"/>
          </w:tcPr>
          <w:p>
            <w:r>
              <w:t xml:space="preserve"/>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Address of Internal Inventors</w:t>
            </w:r>
          </w:p>
        </w:tc>
        <w:tc>
          <w:tcPr>
            <w:tcW w:type="dxa" w:w="5860"/>
            <w:tcBorders>
              <w:top w:val="single" w:color="000000" w:sz="4"/>
              <w:left w:val="single" w:color="000000" w:sz="4"/>
              <w:bottom w:val="single" w:color="000000" w:sz="4"/>
              <w:right w:val="single" w:color="000000" w:sz="4"/>
            </w:tcBorders>
            <w:vAlign w:val="center"/>
          </w:tcPr>
          <w:p>
            <w:r>
              <w:t xml:space="preserve">Lovely Professional University, Punjab-144411, India</w:t>
            </w:r>
          </w:p>
        </w:tc>
      </w:tr>
      <w:tr>
        <w:tc>
          <w:tcPr>
            <w:tcW w:type="dxa" w:w="3500"/>
            <w:tcBorders>
              <w:top w:val="single" w:color="000000" w:sz="4"/>
              <w:left w:val="single" w:color="000000" w:sz="4"/>
              <w:bottom w:val="single" w:color="000000" w:sz="4"/>
              <w:right w:val="single" w:color="000000" w:sz="4"/>
            </w:tcBorders>
            <w:vAlign w:val="center"/>
          </w:tcPr>
          <w:p>
            <w:pPr>
              <w:jc w:val="center"/>
            </w:pPr>
            <w:r>
              <w:rPr>
                <w:b w:val="false"/>
                <w:bCs w:val="false"/>
              </w:rPr>
              <w:t xml:space="preserve">Signature (Mandatory)</w:t>
            </w:r>
          </w:p>
        </w:tc>
        <w:tc>
          <w:tcPr>
            <w:tcW w:type="dxa" w:w="5860"/>
            <w:tcBorders>
              <w:top w:val="single" w:color="000000" w:sz="4"/>
              <w:left w:val="single" w:color="000000" w:sz="4"/>
              <w:bottom w:val="single" w:color="000000" w:sz="4"/>
              <w:right w:val="single" w:color="000000" w:sz="4"/>
            </w:tcBorders>
            <w:vAlign w:val="center"/>
          </w:tcPr>
          <w:p>
            <w:r>
              <w:t xml:space="preserve"/>
            </w:r>
          </w:p>
        </w:tc>
      </w:tr>
    </w:tbl>
    <w:p/>
    <w:p>
      <w:pPr>
        <w:spacing w:after="150" w:before="300"/>
      </w:pPr>
      <w:r>
        <w:rPr>
          <w:b/>
          <w:bCs/>
        </w:rPr>
        <w:t xml:space="preserve">3.DESCRIPTION OF THE INVENTION:</w:t>
      </w:r>
    </w:p>
    <w:p>
      <w:pPr>
        <w:spacing w:after="150"/>
      </w:pPr>
      <w:r>
        <w:t xml:space="preserve">PhytoVision is a state-of-the-art Explainable AI-driven plant disease diagnosis platform that combines a fine-tuned convolutional neural network with a rigorously quantified interpretability layer to deliver transparent, verifiably trustworthy crop health assessments to end users. Unlike conventional plant disease classifiers that operate as black-box predictors returning a diagnosis with no indication of the visual evidence behind it, PhytoVision introduces a Faithfulness Verification Engine that quantitatively validates every visual explanation before it is presented to the user, and a confidence-calibrated advisory layer that translates model output into plain-language guidance. The system is powered by a fine-tuned EfficientNetB0 convolutional network, a Gradient-weighted Class Activation Mapping (Grad-CAM) explainability module, and a novel occlusion-based faithfulness scoring mechanism, all served through a full-stack web application.</w:t>
      </w:r>
    </w:p>
    <w:p>
      <w:pPr>
        <w:spacing w:after="150"/>
      </w:pPr>
      <w:r>
        <w:t xml:space="preserve">The platform is designed around a central design philosophy: an explanation is only as valuable as its demonstrated reliability. Where prior systems treat the generation of a saliency map as the end goal of 'explainability,' PhytoVision treats explanation generation as only the first of two required steps, the second being independent, quantitative verification of that explanation's faithfulness to the model's actual decision process. This distinction is the core inventive contribution of the system and is reflected throughout its architecture, its evaluation methodology, and its user-facing presentation of results.</w:t>
      </w:r>
    </w:p>
    <w:p>
      <w:pPr>
        <w:spacing w:after="150" w:before="300"/>
      </w:pPr>
      <w:r>
        <w:rPr>
          <w:b/>
          <w:bCs/>
        </w:rPr>
        <w:t xml:space="preserve">3.1 SYSTEM ARCHITECTURE OVERVIEW:</w:t>
      </w:r>
    </w:p>
    <w:p>
      <w:pPr>
        <w:spacing w:after="150"/>
      </w:pPr>
      <w:r>
        <w:t xml:space="preserve">The invention comprises the following functionally distinct modules, described in detail in Section 5:</w:t>
      </w:r>
    </w:p>
    <w:p>
      <w:pPr>
        <w:spacing w:after="150"/>
      </w:pPr>
      <w:r>
        <w:t xml:space="preserve">(i)  A Data Preprocessing and Augmentation Module that standardises leaf imagery for model consumption.</w:t>
      </w:r>
    </w:p>
    <w:p>
      <w:pPr>
        <w:spacing w:after="150"/>
      </w:pPr>
      <w:r>
        <w:t xml:space="preserve">(ii)  A Transfer-Learning Classification Engine built on a fine-tuned EfficientNetB0 backbone.</w:t>
      </w:r>
    </w:p>
    <w:p>
      <w:pPr>
        <w:spacing w:after="150"/>
      </w:pPr>
      <w:r>
        <w:t xml:space="preserve">(iii)  A Grad-CAM Explainability Module that computes class-discriminative visual heatmaps.</w:t>
      </w:r>
    </w:p>
    <w:p>
      <w:pPr>
        <w:spacing w:after="150"/>
      </w:pPr>
      <w:r>
        <w:t xml:space="preserve">(iv)  A Faithfulness Verification Engine that quantitatively scores each generated explanation via occlusion testing.</w:t>
      </w:r>
    </w:p>
    <w:p>
      <w:pPr>
        <w:spacing w:after="150"/>
      </w:pPr>
      <w:r>
        <w:t xml:space="preserve">(v)  A Confidence-Calibrated Advisory Module that generates plain-language diagnostic guidance and withholds overconfident low-certainty predictions.</w:t>
      </w:r>
    </w:p>
    <w:p>
      <w:pPr>
        <w:spacing w:after="150"/>
      </w:pPr>
      <w:r>
        <w:t xml:space="preserve">(vi)  A full-stack Deployment Layer (FastAPI backend, React frontend) that exposes the above modules to end users in real time.</w:t>
      </w:r>
    </w:p>
    <w:p>
      <w:pPr>
        <w:spacing w:after="150" w:before="300"/>
      </w:pPr>
      <w:r>
        <w:rPr>
          <w:b/>
          <w:bCs/>
        </w:rPr>
        <w:t xml:space="preserve">A. PROBLEM ADDRESSED BY THE INVENTION:</w:t>
      </w:r>
    </w:p>
    <w:p>
      <w:pPr>
        <w:spacing w:after="150"/>
      </w:pPr>
      <w:r>
        <w:t xml:space="preserve">Existing AI-powered plant disease diagnosis tools operate as opaque classifiers: a leaf image is passed through a convolutional network and a disease label is returned with no verifiable indication of which visual features drove that decision. This approach produces four critical failures.</w:t>
      </w:r>
    </w:p>
    <w:p>
      <w:pPr>
        <w:spacing w:after="150"/>
      </w:pPr>
      <w:r>
        <w:t xml:space="preserve">First, when explainability techniques such as Grad-CAM are applied, they are typically presented without any quantitative verification of faithfulness, so a visually plausible heatmap may not actually reflect the basis of the model's decision, creating a false sense of interpretability rather than genuine transparency. A heatmap that looks well-localised to a human observer can, in fact, be entirely disconnected from the pixels the model is mathematically relying upon, and no existing deployed system surfaces this discrepancy to the user or the developer.</w:t>
      </w:r>
    </w:p>
    <w:p>
      <w:pPr>
        <w:spacing w:after="150"/>
      </w:pPr>
      <w:r>
        <w:t xml:space="preserve">Second, explanation quality is assumed to be uniform across disease categories, when in practice diseases with diffuse, spatially distributed symptoms (such as rust, which manifests as numerous small pustules spread across a leaf) are poorly served by single-region saliency methods, and this degradation goes undetected without explicit measurement. A system that reports a single aggregate accuracy figure and a handful of illustrative heatmaps has no way of surfacing this class-specific weakness.</w:t>
      </w:r>
    </w:p>
    <w:p>
      <w:pPr>
        <w:spacing w:after="150"/>
      </w:pPr>
      <w:r>
        <w:t xml:space="preserve">Third, existing systems offer no mechanism to flag predictions made on inputs outside the training distribution, such as an unfamiliar plant species or a field-condition photograph very different from the controlled lab-condition images used for training, resulting in confidently wrong diagnoses that a non-expert end user has no way of detecting or questioning.</w:t>
      </w:r>
    </w:p>
    <w:p>
      <w:pPr>
        <w:spacing w:after="150"/>
      </w:pPr>
      <w:r>
        <w:t xml:space="preserve">Fourth, even where a confidence score is exposed to the user, it is rarely translated into actionable guidance — users are left to interpret a raw probability number themselves, with no explicit recommendation to seek a clearer photograph or professional consultation when certainty is low, undermining the safety and practical usability of the diagnosis in real agricultural decision-making.</w:t>
      </w:r>
    </w:p>
    <w:p>
      <w:pPr>
        <w:spacing w:after="150" w:before="300"/>
      </w:pPr>
      <w:r>
        <w:rPr>
          <w:b/>
          <w:bCs/>
        </w:rPr>
        <w:t xml:space="preserve">B. OBJECTIVE OF THE INVENTION</w:t>
      </w:r>
    </w:p>
    <w:p>
      <w:pPr>
        <w:spacing w:after="150"/>
      </w:pPr>
      <w:r>
        <w:t xml:space="preserve">Broadly, the objective is to develop an Explainable Plant Disease Recognition System that transforms opaque disease classification into a verifiably transparent, confidence-calibrated diagnostic pipeline. More precisely, the objectives are</w:t>
      </w:r>
    </w:p>
    <w:p>
      <w:pPr>
        <w:spacing w:after="150"/>
      </w:pPr>
      <w:r>
        <w:t xml:space="preserve">1.  To implement a transfer-learning-based classification engine, fine-tuned in two stages (frozen-backbone head training followed by selective unfreezing with layer-wise learning rates), achieving high diagnostic accuracy across multiple crop species and disease categories.</w:t>
      </w:r>
    </w:p>
    <w:p>
      <w:pPr>
        <w:spacing w:after="150"/>
      </w:pPr>
      <w:r>
        <w:t xml:space="preserve">2.  To develop a Grad-CAM-based Visual Explainability Layer that generates a heatmap overlay highlighting the image regions responsible for each individual diagnosis.</w:t>
      </w:r>
    </w:p>
    <w:p>
      <w:pPr>
        <w:spacing w:after="150"/>
      </w:pPr>
      <w:r>
        <w:t xml:space="preserve">3.  To create a Faithfulness Verification Engine that quantitatively validates each generated explanation by occluding the highlighted region and measuring the resulting drop in prediction confidence, distinguishing genuinely faithful explanations from superficially plausible but disconnected ones.</w:t>
      </w:r>
    </w:p>
    <w:p>
      <w:pPr>
        <w:spacing w:after="150"/>
      </w:pPr>
      <w:r>
        <w:t xml:space="preserve">4.  To profile faithfulness on a per-disease-class basis in order to identify and document disease categories for which saliency-based explanation is inherently less reliable, rather than assuming uniform explanation quality.</w:t>
      </w:r>
    </w:p>
    <w:p>
      <w:pPr>
        <w:spacing w:after="150"/>
      </w:pPr>
      <w:r>
        <w:t xml:space="preserve">5.  To integrate a Confidence-Calibrated Advisory Layer that generates plain-language disease descriptions and recommended remedial actions, while explicitly flagging low-confidence or ambiguous diagnoses for human review rather than presenting them with false certainty.</w:t>
      </w:r>
    </w:p>
    <w:p>
      <w:pPr>
        <w:spacing w:after="150"/>
      </w:pPr>
      <w:r>
        <w:t xml:space="preserve">6.  To deploy the complete pipeline as an accessible, real-time web application usable directly by non-technical end users such as farmers, agricultural extension workers, and home gardeners.</w:t>
      </w:r>
    </w:p>
    <w:p>
      <w:pPr>
        <w:spacing w:after="150" w:before="300"/>
      </w:pPr>
      <w:r>
        <w:rPr>
          <w:b/>
          <w:bCs/>
        </w:rPr>
        <w:t xml:space="preserve">4. STATE OF THE ART / RESEARCH GAP / NOVELTY:</w:t>
      </w:r>
    </w:p>
    <w:p>
      <w:pPr>
        <w:spacing w:after="150"/>
      </w:pPr>
      <w:r>
        <w:t xml:space="preserve">Existing plant disease classification systems, including recent hybrid CNN and transformer-based architectures evaluated on datasets such as PlantVillage and PlantDoc, report high classification accuracy and, in a growing number of cases, incorporate Grad-CAM as a supplementary visualization for interpretability. However, the prevailing research gap is that Grad-CAM (and related saliency methods such as LIME) is applied and reported purely as a qualitative visual aid, without any quantitative verification that the highlighted region is actually responsible for the model's prediction. Explanation quality is consequently treated as uniform across all disease classes, obscuring cases where the explanation method's underlying assumption of a single, spatially concentrated discriminative region does not hold. The novelty of PhytoVision lies in its Faithfulness Verification Engine, which computes an occlusion-based faithfulness score for every prediction and profiles this score across disease categories, enabling the system to identify and explicitly report classes (such as diseases with diffuse, distributed symptoms) for which the visual explanation is not trustworthy — a capability not present in existing explainable plant-disease-diagnosis literature or patents, which treat Grad-CAM output as inherently reliable once generated.</w:t>
      </w:r>
    </w:p>
    <w:p>
      <w:pPr>
        <w:spacing w:after="150"/>
      </w:pPr>
      <w:r>
        <w:t xml:space="preserve">Table 1 below summarises this positioning against the prevailing approach in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70"/>
      </w:tblGrid>
      <w:tr>
        <w:trPr>
          <w:tblHeader/>
        </w:trPr>
        <w:tc>
          <w:tcPr>
            <w:tcW w:type="dxa" w:w="2621"/>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Aspect</w:t>
            </w:r>
          </w:p>
        </w:tc>
        <w:tc>
          <w:tcPr>
            <w:tcW w:type="dxa" w:w="337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Existing Systems</w:t>
            </w:r>
          </w:p>
        </w:tc>
        <w:tc>
          <w:tcPr>
            <w:tcW w:type="dxa" w:w="3370"/>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PhytoVision</w:t>
            </w:r>
          </w:p>
        </w:tc>
      </w:tr>
      <w:tr>
        <w:tc>
          <w:tcPr>
            <w:tcW w:type="dxa" w:w="2621"/>
            <w:tcBorders>
              <w:top w:val="single" w:color="000000" w:sz="4"/>
              <w:left w:val="single" w:color="000000" w:sz="4"/>
              <w:bottom w:val="single" w:color="000000" w:sz="4"/>
              <w:right w:val="single" w:color="000000" w:sz="4"/>
            </w:tcBorders>
            <w:vAlign w:val="center"/>
          </w:tcPr>
          <w:p>
            <w:pPr>
              <w:jc w:val="left"/>
            </w:pPr>
            <w:r>
              <w:t xml:space="preserve">Explainability method</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Grad-CAM used as static visual aid</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Grad-CAM + quantitative faithfulness verification</w:t>
            </w:r>
          </w:p>
        </w:tc>
      </w:tr>
      <w:tr>
        <w:tc>
          <w:tcPr>
            <w:tcW w:type="dxa" w:w="2621"/>
            <w:tcBorders>
              <w:top w:val="single" w:color="000000" w:sz="4"/>
              <w:left w:val="single" w:color="000000" w:sz="4"/>
              <w:bottom w:val="single" w:color="000000" w:sz="4"/>
              <w:right w:val="single" w:color="000000" w:sz="4"/>
            </w:tcBorders>
            <w:vAlign w:val="center"/>
          </w:tcPr>
          <w:p>
            <w:pPr>
              <w:jc w:val="left"/>
            </w:pPr>
            <w:r>
              <w:t xml:space="preserve">Explanation trust</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Assumed reliable once generated</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Independently scored per prediction</w:t>
            </w:r>
          </w:p>
        </w:tc>
      </w:tr>
      <w:tr>
        <w:tc>
          <w:tcPr>
            <w:tcW w:type="dxa" w:w="2621"/>
            <w:tcBorders>
              <w:top w:val="single" w:color="000000" w:sz="4"/>
              <w:left w:val="single" w:color="000000" w:sz="4"/>
              <w:bottom w:val="single" w:color="000000" w:sz="4"/>
              <w:right w:val="single" w:color="000000" w:sz="4"/>
            </w:tcBorders>
            <w:vAlign w:val="center"/>
          </w:tcPr>
          <w:p>
            <w:pPr>
              <w:jc w:val="left"/>
            </w:pPr>
            <w:r>
              <w:t xml:space="preserve">Per-class reliability reporting</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Not typically reported</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Explicit per-class faithfulness profiling</w:t>
            </w:r>
          </w:p>
        </w:tc>
      </w:tr>
      <w:tr>
        <w:tc>
          <w:tcPr>
            <w:tcW w:type="dxa" w:w="2621"/>
            <w:tcBorders>
              <w:top w:val="single" w:color="000000" w:sz="4"/>
              <w:left w:val="single" w:color="000000" w:sz="4"/>
              <w:bottom w:val="single" w:color="000000" w:sz="4"/>
              <w:right w:val="single" w:color="000000" w:sz="4"/>
            </w:tcBorders>
            <w:vAlign w:val="center"/>
          </w:tcPr>
          <w:p>
            <w:pPr>
              <w:jc w:val="left"/>
            </w:pPr>
            <w:r>
              <w:t xml:space="preserve">Out-of-distribution handling</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No explicit flagging</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Confidence-calibrated advisory with low-confidence warning</w:t>
            </w:r>
          </w:p>
        </w:tc>
      </w:tr>
      <w:tr>
        <w:tc>
          <w:tcPr>
            <w:tcW w:type="dxa" w:w="2621"/>
            <w:tcBorders>
              <w:top w:val="single" w:color="000000" w:sz="4"/>
              <w:left w:val="single" w:color="000000" w:sz="4"/>
              <w:bottom w:val="single" w:color="000000" w:sz="4"/>
              <w:right w:val="single" w:color="000000" w:sz="4"/>
            </w:tcBorders>
            <w:vAlign w:val="center"/>
          </w:tcPr>
          <w:p>
            <w:pPr>
              <w:jc w:val="left"/>
            </w:pPr>
            <w:r>
              <w:t xml:space="preserve">End-user deployment</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Often research-notebook only</w:t>
            </w:r>
          </w:p>
        </w:tc>
        <w:tc>
          <w:tcPr>
            <w:tcW w:type="dxa" w:w="3370"/>
            <w:tcBorders>
              <w:top w:val="single" w:color="000000" w:sz="4"/>
              <w:left w:val="single" w:color="000000" w:sz="4"/>
              <w:bottom w:val="single" w:color="000000" w:sz="4"/>
              <w:right w:val="single" w:color="000000" w:sz="4"/>
            </w:tcBorders>
            <w:vAlign w:val="center"/>
          </w:tcPr>
          <w:p>
            <w:pPr>
              <w:jc w:val="center"/>
            </w:pPr>
            <w:r>
              <w:t xml:space="preserve">Full-stack real-time web application</w:t>
            </w:r>
          </w:p>
        </w:tc>
      </w:tr>
    </w:tbl>
    <w:p/>
    <w:p>
      <w:pPr>
        <w:spacing w:after="150" w:before="300"/>
      </w:pPr>
      <w:r>
        <w:rPr>
          <w:b/>
          <w:bCs/>
        </w:rPr>
        <w:t xml:space="preserve">5. DETAILED DESCRIPTION:</w:t>
      </w:r>
    </w:p>
    <w:p>
      <w:pPr>
        <w:spacing w:after="150"/>
      </w:pPr>
      <w:r>
        <w:t xml:space="preserve">The system architecture follows a four-stage 'Classify-Explain-Verify-Advise' pipeline, a departure from the single-stage 'Classify-Only' or two-stage 'Classify-Visualize' models used in conventional plant disease diagnosis systems.</w:t>
      </w:r>
    </w:p>
    <w:p>
      <w:pPr>
        <w:spacing w:after="150"/>
      </w:pPr>
      <w:r>
        <w:t xml:space="preserve">Stage 1 — Feature Extraction and Disease Classification: Uploaded leaf images are resized to 224×224 and normalised using EfficientNet-standard preprocessing. A pre-trained EfficientNetB0 backbone, initialised with ImageNet weights, is fine-tuned in two phases: first with the backbone frozen and only a newly added classification head trained, then with the last several backbone blocks selectively unfrozen and fine-tuned at a substantially reduced learning rate. This two-phase strategy allows the model to retain general visual features learned from large-scale pretraining while adapting to the specific texture and colour signatures of plant disease symptoms. The exact training configuration is summarised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Parameter</w:t>
            </w:r>
          </w:p>
        </w:tc>
        <w:tc>
          <w:tcPr>
            <w:tcW w:type="dxa" w:w="3089"/>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Phase 1 (Head Training)</w:t>
            </w:r>
          </w:p>
        </w:tc>
        <w:tc>
          <w:tcPr>
            <w:tcW w:type="dxa" w:w="3089"/>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Phase 2 (Fine-Tuning)</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Backbone state</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Frozen</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Last ~30 layers unfrozen</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Learning rate</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1e-3</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1e-5</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Optimizer</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Adam</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Adam</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Input resolution</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224 × 224 × 3</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224 × 224 × 3</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Batch size</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32</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32</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Regularisation / callbacks</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Dropout, EarlyStopping, ReduceLROnPlateau</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EarlyStopping, ModelCheckpoint</w:t>
            </w:r>
          </w:p>
        </w:tc>
      </w:tr>
      <w:tr>
        <w:tc>
          <w:tcPr>
            <w:tcW w:type="dxa" w:w="3182"/>
            <w:tcBorders>
              <w:top w:val="single" w:color="000000" w:sz="4"/>
              <w:left w:val="single" w:color="000000" w:sz="4"/>
              <w:bottom w:val="single" w:color="000000" w:sz="4"/>
              <w:right w:val="single" w:color="000000" w:sz="4"/>
            </w:tcBorders>
            <w:vAlign w:val="center"/>
          </w:tcPr>
          <w:p>
            <w:pPr>
              <w:jc w:val="left"/>
            </w:pPr>
            <w:r>
              <w:t xml:space="preserve">Resulting validation accuracy</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98.20%</w:t>
            </w:r>
          </w:p>
        </w:tc>
        <w:tc>
          <w:tcPr>
            <w:tcW w:type="dxa" w:w="3089"/>
            <w:tcBorders>
              <w:top w:val="single" w:color="000000" w:sz="4"/>
              <w:left w:val="single" w:color="000000" w:sz="4"/>
              <w:bottom w:val="single" w:color="000000" w:sz="4"/>
              <w:right w:val="single" w:color="000000" w:sz="4"/>
            </w:tcBorders>
            <w:vAlign w:val="center"/>
          </w:tcPr>
          <w:p>
            <w:pPr>
              <w:jc w:val="center"/>
            </w:pPr>
            <w:r>
              <w:t xml:space="preserve">99.12%</w:t>
            </w:r>
          </w:p>
        </w:tc>
      </w:tr>
    </w:tbl>
    <w:p/>
    <w:p>
      <w:pPr>
        <w:spacing w:after="150"/>
      </w:pPr>
      <w:r>
        <w:t xml:space="preserve">Stage 2 — Grad-CAM Visual Explainability Layer: For each prediction, gradients of the predicted class score are computed with respect to the activations of the network's final convolutional layer. These gradients are spatially pooled and used to weight the corresponding feature maps, producing a class-discriminative localisation heatmap that is overlaid on the original leaf image and presented to the user alongside the diagnosis.</w:t>
      </w:r>
    </w:p>
    <w:p>
      <w:pPr>
        <w:spacing w:after="150"/>
      </w:pPr>
      <w:r>
        <w:t xml:space="preserve">Stage 3 — Faithfulness Verification Engine: The highest-activated region of the generated heatmap (the top percentile of activation) is programmatically masked out of the input image, and the masked image is re-classified by the model. The resulting drop in confidence for the originally predicted class is recorded as a faithfulness score: a large drop indicates the model's decision genuinely depended on the highlighted region, while a negligible drop indicates the explanation is visually plausible but not actually load-bearing in the model's decision process. This scoring is computed per-prediction at inference time and additionally profiled in aggregate across all disease classes during system evaluation, surfacing which categories the explanation mechanism serves reliably and which it does not.</w:t>
      </w:r>
    </w:p>
    <w:p>
      <w:pPr>
        <w:spacing w:after="150"/>
      </w:pPr>
      <w:r>
        <w:t xml:space="preserve">Stage 4 — Confidence-Calibrated Advisory Generation: The verified prediction, its confidence score, and its faithfulness score are passed to an advisory layer that retrieves a plain-language description of the diagnosed condition and a corresponding recommended action from a structured disease-information lookup. When prediction confidence falls below a calibrated threshold, the system withholds a single definitive diagnosis and instead presents the top candidate conditions together with an explicit recommendation that the user seek a clearer image or expert consultation, rather than presenting a low-confidence guess as certain.</w:t>
      </w:r>
    </w:p>
    <w:p>
      <w:pPr>
        <w:spacing w:after="150" w:before="300"/>
      </w:pPr>
      <w:r>
        <w:rPr>
          <w:b/>
          <w:bCs/>
        </w:rPr>
        <w:t xml:space="preserve">6. RESULTS AND ADVANTAGES:</w:t>
      </w:r>
    </w:p>
    <w:p>
      <w:pPr>
        <w:spacing w:after="150"/>
      </w:pPr>
      <w:r>
        <w:t xml:space="preserve">The fine-tuned EfficientNetB0 classification engine achieves 99.12% validation accuracy across 38 disease and healthy-leaf categories spanning 14 crop species, with a weighted-average F1-score of 0.99 across all classes. Table 3 reports representative per-class classification performance, illustrating that even the weakest-performing classes remain well above 0.95 F1, and that these classes correspond to diseases with genuinely overlapping visual symptoms (e.g., corn leaf blight variants, tomato leaf-spot diseases) rather than to any systemic weakness 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778"/>
        <w:gridCol w:w="1778"/>
        <w:gridCol w:w="1872"/>
      </w:tblGrid>
      <w:tr>
        <w:trPr>
          <w:tblHeader/>
        </w:trPr>
        <w:tc>
          <w:tcPr>
            <w:tcW w:type="dxa" w:w="3931"/>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Disease Class</w:t>
            </w:r>
          </w:p>
        </w:tc>
        <w:tc>
          <w:tcPr>
            <w:tcW w:type="dxa" w:w="1778"/>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Precision</w:t>
            </w:r>
          </w:p>
        </w:tc>
        <w:tc>
          <w:tcPr>
            <w:tcW w:type="dxa" w:w="1778"/>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Recall</w:t>
            </w:r>
          </w:p>
        </w:tc>
        <w:tc>
          <w:tcPr>
            <w:tcW w:type="dxa" w:w="1872"/>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F1-Score</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Corn — Cercospora / Gray Leaf Spot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0.98</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0.93</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0.95</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Tomato — Target Spot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0.95</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0.94</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0.95</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Corn — Northern Leaf Blight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0.94</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0.99</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0.96</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Tomato — Septoria Leaf Spot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0.99</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0.94</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0.97</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Tomato — Bacterial Spot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0.99</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0.98</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0.98</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Apple — Apple Scab</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1.00</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1.00</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1.00</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Potato — Early Blight</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1.00</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1.00</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1.00</w:t>
            </w:r>
          </w:p>
        </w:tc>
      </w:tr>
      <w:tr>
        <w:tc>
          <w:tcPr>
            <w:tcW w:type="dxa" w:w="3931"/>
            <w:tcBorders>
              <w:top w:val="single" w:color="000000" w:sz="4"/>
              <w:left w:val="single" w:color="000000" w:sz="4"/>
              <w:bottom w:val="single" w:color="000000" w:sz="4"/>
              <w:right w:val="single" w:color="000000" w:sz="4"/>
            </w:tcBorders>
            <w:vAlign w:val="center"/>
          </w:tcPr>
          <w:p>
            <w:pPr>
              <w:jc w:val="left"/>
            </w:pPr>
            <w:r>
              <w:t xml:space="preserve">Overall (weighted average)</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0.99</w:t>
            </w:r>
          </w:p>
        </w:tc>
        <w:tc>
          <w:tcPr>
            <w:tcW w:type="dxa" w:w="1778"/>
            <w:tcBorders>
              <w:top w:val="single" w:color="000000" w:sz="4"/>
              <w:left w:val="single" w:color="000000" w:sz="4"/>
              <w:bottom w:val="single" w:color="000000" w:sz="4"/>
              <w:right w:val="single" w:color="000000" w:sz="4"/>
            </w:tcBorders>
            <w:vAlign w:val="center"/>
          </w:tcPr>
          <w:p>
            <w:pPr>
              <w:jc w:val="center"/>
            </w:pPr>
            <w:r>
              <w:t xml:space="preserve">0.99</w:t>
            </w:r>
          </w:p>
        </w:tc>
        <w:tc>
          <w:tcPr>
            <w:tcW w:type="dxa" w:w="1872"/>
            <w:tcBorders>
              <w:top w:val="single" w:color="000000" w:sz="4"/>
              <w:left w:val="single" w:color="000000" w:sz="4"/>
              <w:bottom w:val="single" w:color="000000" w:sz="4"/>
              <w:right w:val="single" w:color="000000" w:sz="4"/>
            </w:tcBorders>
            <w:vAlign w:val="center"/>
          </w:tcPr>
          <w:p>
            <w:pPr>
              <w:jc w:val="center"/>
            </w:pPr>
            <w:r>
              <w:t xml:space="preserve">0.99</w:t>
            </w:r>
          </w:p>
        </w:tc>
      </w:tr>
    </w:tbl>
    <w:p/>
    <w:p>
      <w:pPr>
        <w:spacing w:after="150"/>
      </w:pPr>
      <w:r>
        <w:t xml:space="preserve">Faithfulness verification across the evaluated disease classes shows that the great majority of classes exhibit strong explanation faithfulness, with confidence drops upon occlusion frequently exceeding 0.8–0.9, confirming that the model's Grad-CAM explanations are, for most diseases, genuinely reflective of its decision process rather than cosmetic. Table 4 reports the full per-class faithfulness profile obtained via the occlusion-based verification methodology described in Section 5,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808"/>
        <w:gridCol w:w="2434"/>
      </w:tblGrid>
      <w:tr>
        <w:trPr>
          <w:tblHeader/>
        </w:trPr>
        <w:tc>
          <w:tcPr>
            <w:tcW w:type="dxa" w:w="4118"/>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Disease Class</w:t>
            </w:r>
          </w:p>
        </w:tc>
        <w:tc>
          <w:tcPr>
            <w:tcW w:type="dxa" w:w="2808"/>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Avg. Confidence Drop</w:t>
            </w:r>
          </w:p>
        </w:tc>
        <w:tc>
          <w:tcPr>
            <w:tcW w:type="dxa" w:w="2434"/>
            <w:tcBorders>
              <w:top w:val="single" w:color="000000" w:sz="4"/>
              <w:left w:val="single" w:color="000000" w:sz="4"/>
              <w:bottom w:val="single" w:color="000000" w:sz="4"/>
              <w:right w:val="single" w:color="000000" w:sz="4"/>
            </w:tcBorders>
            <w:shd w:fill="D9D9D9" w:val="clear"/>
            <w:vAlign w:val="center"/>
          </w:tcPr>
          <w:p>
            <w:pPr>
              <w:jc w:val="center"/>
            </w:pPr>
            <w:r>
              <w:rPr>
                <w:b/>
                <w:bCs/>
              </w:rPr>
              <w:t xml:space="preserve">Faithfulness Rating</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Corn — Northern Leaf Blight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0.990</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Apple — Apple Scab</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0.973</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Bacterial Spot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0.928</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Potato — Late Blight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0.905</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Yellow Leaf Curl Virus</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0.850</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Grape — Black Rot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0.802</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Early Blight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0.758</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Orange — Citrus Greening</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0.724</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Target Spot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0.705</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High</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Spider Mites</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0.685</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Grape — Esca (Black Measles)</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0.617</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Potato — Early Blight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0.616</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Corn — Cercospora / Gray Leaf Spot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0.610</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Apple — Cedar Apple Rust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0.546</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Squash — Powdery Mildew</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0.515</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Apple — Black Rot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0.490</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Grape — Leaf Blight (Isariopsis)</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0.309</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Pepper (Bell) — Bacterial Spot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0.251</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Low</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Tomato — Late Blight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0.346</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Moderate</w:t>
            </w:r>
          </w:p>
        </w:tc>
      </w:tr>
      <w:tr>
        <w:tc>
          <w:tcPr>
            <w:tcW w:type="dxa" w:w="4118"/>
            <w:tcBorders>
              <w:top w:val="single" w:color="000000" w:sz="4"/>
              <w:left w:val="single" w:color="000000" w:sz="4"/>
              <w:bottom w:val="single" w:color="000000" w:sz="4"/>
              <w:right w:val="single" w:color="000000" w:sz="4"/>
            </w:tcBorders>
            <w:vAlign w:val="center"/>
          </w:tcPr>
          <w:p>
            <w:pPr>
              <w:jc w:val="left"/>
            </w:pPr>
            <w:r>
              <w:t xml:space="preserve">Corn — Common Rust</w:t>
            </w:r>
          </w:p>
        </w:tc>
        <w:tc>
          <w:tcPr>
            <w:tcW w:type="dxa" w:w="2808"/>
            <w:tcBorders>
              <w:top w:val="single" w:color="000000" w:sz="4"/>
              <w:left w:val="single" w:color="000000" w:sz="4"/>
              <w:bottom w:val="single" w:color="000000" w:sz="4"/>
              <w:right w:val="single" w:color="000000" w:sz="4"/>
            </w:tcBorders>
            <w:vAlign w:val="center"/>
          </w:tcPr>
          <w:p>
            <w:pPr>
              <w:jc w:val="center"/>
            </w:pPr>
            <w:r>
              <w:t xml:space="preserve">0.004</w:t>
            </w:r>
          </w:p>
        </w:tc>
        <w:tc>
          <w:tcPr>
            <w:tcW w:type="dxa" w:w="2434"/>
            <w:tcBorders>
              <w:top w:val="single" w:color="000000" w:sz="4"/>
              <w:left w:val="single" w:color="000000" w:sz="4"/>
              <w:bottom w:val="single" w:color="000000" w:sz="4"/>
              <w:right w:val="single" w:color="000000" w:sz="4"/>
            </w:tcBorders>
            <w:vAlign w:val="center"/>
          </w:tcPr>
          <w:p>
            <w:pPr>
              <w:jc w:val="center"/>
            </w:pPr>
            <w:r>
              <w:t xml:space="preserve">Low</w:t>
            </w:r>
          </w:p>
        </w:tc>
      </w:tr>
    </w:tbl>
    <w:p/>
    <w:p>
      <w:pPr>
        <w:spacing w:after="150"/>
      </w:pPr>
      <w:r>
        <w:t xml:space="preserve">Critically, this per-class faithfulness profiling identified Corn Common Rust — a disease characterised by numerous small pustules distributed across the entire leaf surface rather than a single contiguous lesion — as a case where faithfulness collapses to near zero (average confidence drop of 0.004 on a 15-sample targeted re-evaluation) despite a visually plausible Grad-CAM heatmap. This is a failure mode invisible to any system that does not quantitatively verify its explanations, and its detection is a direct, demonstrable output of the invention's Faithfulness Verification Engine. This demonstrates the system's core advantage: it does not merely generate explanations, it verifies and reports their reliability, enabling honest, class-aware trust calibration rather than blanket claims of interpretability.</w:t>
      </w:r>
    </w:p>
    <w:p>
      <w:pPr>
        <w:spacing w:after="150"/>
      </w:pPr>
      <w:r>
        <w:t xml:space="preserve">The confidence-calibrated advisory layer further improves safety by withholding overconfident diagnoses on ambiguous or out-of-distribution inputs — for instance, images of plant species entirely absent from the training set are still forced through the closed-set classifier and can otherwise receive misleadingly high-confidence labels; the advisory layer's threshold-based warning path is a direct mitigation for this known limitation of closed-set softmax classification. The complete system is deployed as a full-stack web application (FastAPI backend serving the model and explainability computations, React frontend for the user-facing diagnostic interface), ensuring the research contribution is immediately usable by non-technical end users rather than remaining confined to a research notebook.</w:t>
      </w:r>
    </w:p>
    <w:p>
      <w:pPr>
        <w:spacing w:after="150" w:before="300"/>
      </w:pPr>
      <w:r>
        <w:rPr>
          <w:b/>
          <w:bCs/>
        </w:rPr>
        <w:t xml:space="preserve">7. EXPANSION:</w:t>
      </w:r>
    </w:p>
    <w:p>
      <w:pPr>
        <w:spacing w:after="150"/>
      </w:pPr>
      <w:r>
        <w:t xml:space="preserve">The Faithfulness Verification Engine is model- and domain-agnostic and can be extended beyond plant leaf disease diagnosis to any image-classification domain where explainability is safety-critical, such as medical imaging diagnostics. Within the agricultural domain, the classification engine can be retrained or extended with additional crop species and field-condition datasets (such as PlantDoc) to improve robustness to real-world lighting, background, and multi-leaf conditions, with the Faithfulness Verification Engine used to quantify any resulting degradation in explanation reliability under domain shift. The explainability layer can be extended to incorporate complementary methods such as Grad-CAM++ for diseases with multiple discrete lesion regions, with the Faithfulness Verification Engine used to select the best-performing explanation method per disease class automatically. The advisory layer can be extended to support regional Indian languages, significantly improving accessibility for farmers with limited English literacy. The platform can further be integrated with drone or satellite field-imagery pipelines to enable large-scale, per-plant disease and explainability monitoring across an entire field rather than a single uploaded leaf image.</w:t>
      </w:r>
    </w:p>
    <w:p>
      <w:pPr>
        <w:spacing w:after="150" w:before="300"/>
      </w:pPr>
      <w:r>
        <w:rPr>
          <w:b/>
          <w:bCs/>
        </w:rPr>
        <w:t xml:space="preserve">8. WORKING PROTOTYPE / FORMULATION / DESIGN / COMPOSITION:</w:t>
      </w:r>
    </w:p>
    <w:p>
      <w:pPr>
        <w:spacing w:after="150"/>
      </w:pPr>
      <w:r>
        <w:t xml:space="preserve">The working prototype is a fully functional full-stack web application named PhytoVision. Its composition spans a machine-learning inference layer, an API layer, and a presentation layer, described below.</w:t>
      </w:r>
    </w:p>
    <w:p>
      <w:pPr>
        <w:spacing w:after="150"/>
      </w:pPr>
      <w:r>
        <w:t xml:space="preserve">Backend Architecture: The backend is a FastAPI (Python) application exposing a /predict endpoint (returning the predicted class, crop name, confidence score, and top-3 candidate predictions), an /explain endpoint (returning a base64-encoded Grad-CAM heatmap overlay and the corresponding faithfulness score, computed via TensorFlow GradientTape against the classification model's final convolutional layer), and a /disease-info endpoint (returning a plain-language description and recommended action for the diagnosed condition). The classification model is a TensorFlow/Keras EfficientNetB0 network, fine-tuned on the PlantVillage dataset (70,295 training images, 17,572 validation images, 38 classes) and loaded once at server startup for low-latency inference, avoiding the cost of reloading model weights on every request. Cross-Origin Resource Sharing (CORS) middleware permits the frontend application to consume these endpoints, and defensive error handling ensures invalid file types or corrupted uploads return a graceful, user-readable error rather than a server fault.</w:t>
      </w:r>
    </w:p>
    <w:p>
      <w:pPr>
        <w:spacing w:after="150"/>
      </w:pPr>
      <w:r>
        <w:t xml:space="preserve">Frontend Architecture: The frontend is a React application styled with a clean, card-based diagnostic interface, presenting the uploaded image alongside its Grad-CAM overlay, a colour-coded confidence indicator, an explanation-reliability (faithfulness) indicator, and plain-language disease information, with an explicit low-confidence warning path for ambiguous or out-of-distribution uploads. A preloaded sample-image gallery allows first-time users to explore the system's diagnostic and explainability output without needing to source their own leaf photograph.</w:t>
      </w:r>
    </w:p>
    <w:p>
      <w:pPr>
        <w:spacing w:after="150"/>
      </w:pPr>
      <w:r>
        <w:t xml:space="preserve">Deployment Environment: Model development and training were conducted on a cloud GPU environment (NVIDIA T4), with the resulting model artefact exported and served independently by the FastAPI backend, decoupling the computationally intensive training process from the lightweight, low-latency inference process required for real-time user-facing diagnosis.</w:t>
      </w:r>
    </w:p>
    <w:p>
      <w:pPr>
        <w:spacing w:after="150" w:before="300"/>
      </w:pPr>
      <w:r>
        <w:rPr>
          <w:b/>
          <w:bCs/>
        </w:rPr>
        <w:t xml:space="preserve">9. USE AND DISCLOSURE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1310"/>
        <w:gridCol w:w="1311"/>
      </w:tblGrid>
      <w:tr>
        <w:tc>
          <w:tcPr>
            <w:tcW w:type="dxa" w:w="6739"/>
            <w:tcBorders>
              <w:top w:val="single" w:color="000000" w:sz="4"/>
              <w:left w:val="single" w:color="000000" w:sz="4"/>
              <w:bottom w:val="single" w:color="000000" w:sz="4"/>
              <w:right w:val="single" w:color="000000" w:sz="4"/>
            </w:tcBorders>
            <w:vAlign w:val="center"/>
          </w:tcPr>
          <w:p>
            <w:r>
              <w:t xml:space="preserve">A. Have you described or shown your invention/ design to anyone or in any conference?</w:t>
            </w:r>
          </w:p>
        </w:tc>
        <w:tc>
          <w:tcPr>
            <w:tcW w:type="dxa" w:w="1310"/>
            <w:tcBorders>
              <w:top w:val="single" w:color="000000" w:sz="4"/>
              <w:left w:val="single" w:color="000000" w:sz="4"/>
              <w:bottom w:val="single" w:color="000000" w:sz="4"/>
              <w:right w:val="single" w:color="000000" w:sz="4"/>
            </w:tcBorders>
            <w:vAlign w:val="center"/>
          </w:tcPr>
          <w:p>
            <w:pPr>
              <w:jc w:val="center"/>
            </w:pPr>
            <w:r>
              <w:t xml:space="preserve">YES (  )</w:t>
            </w:r>
          </w:p>
        </w:tc>
        <w:tc>
          <w:tcPr>
            <w:tcW w:type="dxa" w:w="1311"/>
            <w:tcBorders>
              <w:top w:val="single" w:color="000000" w:sz="4"/>
              <w:left w:val="single" w:color="000000" w:sz="4"/>
              <w:bottom w:val="single" w:color="000000" w:sz="4"/>
              <w:right w:val="single" w:color="000000" w:sz="4"/>
            </w:tcBorders>
            <w:vAlign w:val="center"/>
          </w:tcPr>
          <w:p>
            <w:pPr>
              <w:jc w:val="center"/>
            </w:pPr>
            <w:r>
              <w:t xml:space="preserve">NO (  )</w:t>
            </w:r>
          </w:p>
        </w:tc>
      </w:tr>
      <w:tr>
        <w:tc>
          <w:tcPr>
            <w:tcW w:type="dxa" w:w="6739"/>
            <w:tcBorders>
              <w:top w:val="single" w:color="000000" w:sz="4"/>
              <w:left w:val="single" w:color="000000" w:sz="4"/>
              <w:bottom w:val="single" w:color="000000" w:sz="4"/>
              <w:right w:val="single" w:color="000000" w:sz="4"/>
            </w:tcBorders>
            <w:vAlign w:val="center"/>
          </w:tcPr>
          <w:p>
            <w:r>
              <w:t xml:space="preserve">B. Have you made any attempts to commercialize your invention (for example, have you approached any companies about purchasing or manufacturing your invention)?</w:t>
            </w:r>
          </w:p>
        </w:tc>
        <w:tc>
          <w:tcPr>
            <w:tcW w:type="dxa" w:w="1310"/>
            <w:tcBorders>
              <w:top w:val="single" w:color="000000" w:sz="4"/>
              <w:left w:val="single" w:color="000000" w:sz="4"/>
              <w:bottom w:val="single" w:color="000000" w:sz="4"/>
              <w:right w:val="single" w:color="000000" w:sz="4"/>
            </w:tcBorders>
            <w:vAlign w:val="center"/>
          </w:tcPr>
          <w:p>
            <w:pPr>
              <w:jc w:val="center"/>
            </w:pPr>
            <w:r>
              <w:t xml:space="preserve">YES (  )</w:t>
            </w:r>
          </w:p>
        </w:tc>
        <w:tc>
          <w:tcPr>
            <w:tcW w:type="dxa" w:w="1311"/>
            <w:tcBorders>
              <w:top w:val="single" w:color="000000" w:sz="4"/>
              <w:left w:val="single" w:color="000000" w:sz="4"/>
              <w:bottom w:val="single" w:color="000000" w:sz="4"/>
              <w:right w:val="single" w:color="000000" w:sz="4"/>
            </w:tcBorders>
            <w:vAlign w:val="center"/>
          </w:tcPr>
          <w:p>
            <w:pPr>
              <w:jc w:val="center"/>
            </w:pPr>
            <w:r>
              <w:t xml:space="preserve">NO (  )</w:t>
            </w:r>
          </w:p>
        </w:tc>
      </w:tr>
      <w:tr>
        <w:tc>
          <w:tcPr>
            <w:tcW w:type="dxa" w:w="6739"/>
            <w:tcBorders>
              <w:top w:val="single" w:color="000000" w:sz="4"/>
              <w:left w:val="single" w:color="000000" w:sz="4"/>
              <w:bottom w:val="single" w:color="000000" w:sz="4"/>
              <w:right w:val="single" w:color="000000" w:sz="4"/>
            </w:tcBorders>
            <w:vAlign w:val="center"/>
          </w:tcPr>
          <w:p>
            <w:r>
              <w:t xml:space="preserve">C. Has your invention been described in any printed publication, or any other form of media, such as the Internet?</w:t>
            </w:r>
          </w:p>
        </w:tc>
        <w:tc>
          <w:tcPr>
            <w:tcW w:type="dxa" w:w="1310"/>
            <w:tcBorders>
              <w:top w:val="single" w:color="000000" w:sz="4"/>
              <w:left w:val="single" w:color="000000" w:sz="4"/>
              <w:bottom w:val="single" w:color="000000" w:sz="4"/>
              <w:right w:val="single" w:color="000000" w:sz="4"/>
            </w:tcBorders>
            <w:vAlign w:val="center"/>
          </w:tcPr>
          <w:p>
            <w:pPr>
              <w:jc w:val="center"/>
            </w:pPr>
            <w:r>
              <w:t xml:space="preserve">YES (  )</w:t>
            </w:r>
          </w:p>
        </w:tc>
        <w:tc>
          <w:tcPr>
            <w:tcW w:type="dxa" w:w="1311"/>
            <w:tcBorders>
              <w:top w:val="single" w:color="000000" w:sz="4"/>
              <w:left w:val="single" w:color="000000" w:sz="4"/>
              <w:bottom w:val="single" w:color="000000" w:sz="4"/>
              <w:right w:val="single" w:color="000000" w:sz="4"/>
            </w:tcBorders>
            <w:vAlign w:val="center"/>
          </w:tcPr>
          <w:p>
            <w:pPr>
              <w:jc w:val="center"/>
            </w:pPr>
            <w:r>
              <w:t xml:space="preserve">NO (  )</w:t>
            </w:r>
          </w:p>
        </w:tc>
      </w:tr>
      <w:tr>
        <w:tc>
          <w:tcPr>
            <w:tcW w:type="dxa" w:w="6739"/>
            <w:tcBorders>
              <w:top w:val="single" w:color="000000" w:sz="4"/>
              <w:left w:val="single" w:color="000000" w:sz="4"/>
              <w:bottom w:val="single" w:color="000000" w:sz="4"/>
              <w:right w:val="single" w:color="000000" w:sz="4"/>
            </w:tcBorders>
            <w:vAlign w:val="center"/>
          </w:tcPr>
          <w:p>
            <w:r>
              <w:t xml:space="preserve">D. Do you have any collaboration with any other institute or organization on the same? Provide name and other details.</w:t>
            </w:r>
          </w:p>
        </w:tc>
        <w:tc>
          <w:tcPr>
            <w:tcW w:type="dxa" w:w="1310"/>
            <w:tcBorders>
              <w:top w:val="single" w:color="000000" w:sz="4"/>
              <w:left w:val="single" w:color="000000" w:sz="4"/>
              <w:bottom w:val="single" w:color="000000" w:sz="4"/>
              <w:right w:val="single" w:color="000000" w:sz="4"/>
            </w:tcBorders>
            <w:vAlign w:val="center"/>
          </w:tcPr>
          <w:p>
            <w:pPr>
              <w:jc w:val="center"/>
            </w:pPr>
            <w:r>
              <w:t xml:space="preserve">YES (  )</w:t>
            </w:r>
          </w:p>
        </w:tc>
        <w:tc>
          <w:tcPr>
            <w:tcW w:type="dxa" w:w="1311"/>
            <w:tcBorders>
              <w:top w:val="single" w:color="000000" w:sz="4"/>
              <w:left w:val="single" w:color="000000" w:sz="4"/>
              <w:bottom w:val="single" w:color="000000" w:sz="4"/>
              <w:right w:val="single" w:color="000000" w:sz="4"/>
            </w:tcBorders>
            <w:vAlign w:val="center"/>
          </w:tcPr>
          <w:p>
            <w:pPr>
              <w:jc w:val="center"/>
            </w:pPr>
            <w:r>
              <w:t xml:space="preserve">NO (  )</w:t>
            </w:r>
          </w:p>
        </w:tc>
      </w:tr>
      <w:tr>
        <w:tc>
          <w:tcPr>
            <w:tcW w:type="dxa" w:w="6739"/>
            <w:tcBorders>
              <w:top w:val="single" w:color="000000" w:sz="4"/>
              <w:left w:val="single" w:color="000000" w:sz="4"/>
              <w:bottom w:val="single" w:color="000000" w:sz="4"/>
              <w:right w:val="single" w:color="000000" w:sz="4"/>
            </w:tcBorders>
            <w:vAlign w:val="center"/>
          </w:tcPr>
          <w:p>
            <w:r>
              <w:t xml:space="preserve">E. Name of Regulatory body or any other approvals if required.</w:t>
            </w:r>
          </w:p>
        </w:tc>
        <w:tc>
          <w:tcPr>
            <w:tcW w:type="dxa" w:w="1310"/>
            <w:tcBorders>
              <w:top w:val="single" w:color="000000" w:sz="4"/>
              <w:left w:val="single" w:color="000000" w:sz="4"/>
              <w:bottom w:val="single" w:color="000000" w:sz="4"/>
              <w:right w:val="single" w:color="000000" w:sz="4"/>
            </w:tcBorders>
            <w:vAlign w:val="center"/>
          </w:tcPr>
          <w:p>
            <w:pPr>
              <w:jc w:val="center"/>
            </w:pPr>
            <w:r>
              <w:t xml:space="preserve">YES (  )</w:t>
            </w:r>
          </w:p>
        </w:tc>
        <w:tc>
          <w:tcPr>
            <w:tcW w:type="dxa" w:w="1311"/>
            <w:tcBorders>
              <w:top w:val="single" w:color="000000" w:sz="4"/>
              <w:left w:val="single" w:color="000000" w:sz="4"/>
              <w:bottom w:val="single" w:color="000000" w:sz="4"/>
              <w:right w:val="single" w:color="000000" w:sz="4"/>
            </w:tcBorders>
            <w:vAlign w:val="center"/>
          </w:tcPr>
          <w:p>
            <w:pPr>
              <w:jc w:val="center"/>
            </w:pPr>
            <w:r>
              <w:t xml:space="preserve">NO (  )</w:t>
            </w:r>
          </w:p>
        </w:tc>
      </w:tr>
    </w:tbl>
    <w:p/>
    <w:p>
      <w:pPr>
        <w:spacing w:after="150" w:before="300"/>
      </w:pPr>
      <w:r>
        <w:rPr>
          <w:b/>
          <w:bCs/>
        </w:rPr>
        <w:t xml:space="preserve">10. FILING OPTIONS: Please indicate the level of your work which can be considered for provisional/ complete/ PCT filings (Mandatory to mention)</w:t>
      </w:r>
    </w:p>
    <w:p>
      <w:pPr>
        <w:spacing w:after="150"/>
      </w:pPr>
      <w:r>
        <w:rPr>
          <w:b/>
          <w:bCs/>
        </w:rPr>
        <w:t xml:space="preserve">Recommended for: Provisional Patent Filing (PROVISIONAL)</w:t>
      </w:r>
    </w:p>
    <w:p>
      <w:pPr>
        <w:spacing w:after="150"/>
      </w:pPr>
      <w:r>
        <w:t xml:space="preserve">This innovation qualifies for provisional patent filing as it contains a novel Faithfulness Verification Engine for explainable plant disease diagnosis — a quantitative, occlusion-based mechanism for verifying and per-class-profiling the reliability of Grad-CAM explanations — not disclosed in existing explainable-AI or plant-disease-diagnosis patents, which treat generated saliency maps as inherently trustworthy once produced. The combination of a two-phase fine-tuned classification engine, faithfulness-verified explainability, and a confidence-calibrated advisory layer represents a distinctly patentable methodology. Recommend proceeding with provisional filing followed by detailed examination in 12 months.</w:t>
      </w:r>
    </w:p>
    <w:p>
      <w:pPr>
        <w:spacing w:after="150" w:before="300"/>
      </w:pPr>
      <w:r>
        <w:rPr>
          <w:b/>
          <w:bCs/>
        </w:rPr>
        <w:t xml:space="preserve">11. KEYWORDS:</w:t>
      </w:r>
    </w:p>
    <w:p>
      <w:pPr>
        <w:spacing w:after="150"/>
      </w:pPr>
      <w:r>
        <w:t xml:space="preserve">Explainable artificial intelligence, plant disease classification, convolutional neural network, transfer learning, EfficientNet, Grad-CAM, class activation mapping, faithfulness verification, occlusion-based explanation scoring, interpretable deep learning, precision agriculture, crop disease diagnosis, confidence-calibrated diagnosis, per-class explainability profiling, agricultural AI, trustworthy machine learning.</w:t>
      </w:r>
    </w:p>
    <w:p>
      <w:r>
        <w:br w:type="page"/>
      </w:r>
    </w:p>
    <w:p>
      <w:pPr>
        <w:spacing w:after="150"/>
      </w:pPr>
      <w:r>
        <w:t xml:space="preserve">(Letter Head of the external organization)</w:t>
      </w:r>
    </w:p>
    <w:p/>
    <w:p>
      <w:pPr>
        <w:jc w:val="center"/>
      </w:pPr>
      <w:r>
        <w:rPr>
          <w:b/>
          <w:bCs/>
          <w:u w:val="single"/>
        </w:rPr>
        <w:t xml:space="preserve">NO OBJECTION CERTIFICATE</w:t>
      </w:r>
    </w:p>
    <w:p/>
    <w:p>
      <w:pPr>
        <w:spacing w:after="150"/>
      </w:pPr>
      <w:r>
        <w:t xml:space="preserve">This is to certify that University/Organization Name or its associates shall have no objection if Lovely Professional University files an IPR (Patent/Copyright/Design/any other…….) entitled "Explainable Deep Learning System for Plant Leaf Disease Recognition using Faithfulness-Verified Grad-CAM Interpretability (PhytoVision)" including the name(s) of ____________________, ____________________, ____________________ as inventors whom are students studying in our University/organization.</w:t>
      </w:r>
    </w:p>
    <w:p>
      <w:pPr>
        <w:spacing w:after="150"/>
      </w:pPr>
      <w:r>
        <w:t xml:space="preserve">Further Name of the University/Organization shall not provide any financial assistance in respect of said IPR nor shall raise any objection later with respect to filing or commercialization of the said IPR or otherwise claim any right to the patent/invention at any stage.</w:t>
      </w:r>
    </w:p>
    <w:p/>
    <w:p/>
    <w:p>
      <w:pPr>
        <w:spacing w:after="150"/>
      </w:pPr>
      <w:r>
        <w:t xml:space="preserve">(Authorised Signatory)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2026-09-21T03:28:52.614Z</dcterms:created>
  <dcterms:modified xsi:type="dcterms:W3CDTF">2026-09-21T03:28:52.614Z</dcterms:modified>
</cp:coreProperties>
</file>

<file path=docProps/custom.xml><?xml version="1.0" encoding="utf-8"?>
<Properties xmlns="http://schemas.openxmlformats.org/officeDocument/2006/custom-properties" xmlns:vt="http://schemas.openxmlformats.org/officeDocument/2006/docPropsVTypes"/>
</file>