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7652" w:rsidRPr="00625E01" w:rsidRDefault="00747F5D" w:rsidP="00747F5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 w:rsidRPr="00625E01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Norma Técnica de Interoperabilidad de requisitos de conexión a la red de comunicaciones de las Administraciones Públicas españolas (red SARA)</w:t>
      </w:r>
    </w:p>
    <w:p w:rsidR="00625E01" w:rsidRPr="00625E01" w:rsidRDefault="00625E01" w:rsidP="00747F5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 w:rsidRPr="00625E01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Objeto</w:t>
      </w:r>
    </w:p>
    <w:p w:rsidR="00747F5D" w:rsidRDefault="00747F5D" w:rsidP="00747F5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F5D">
        <w:rPr>
          <w:rFonts w:ascii="Times New Roman" w:eastAsia="Times New Roman" w:hAnsi="Times New Roman" w:cs="Times New Roman"/>
          <w:sz w:val="24"/>
          <w:szCs w:val="24"/>
          <w:lang w:eastAsia="es-ES"/>
        </w:rPr>
        <w:t>Esta NTI tiene por objeto establecer las condiciones en las que cualquier órgano de una Administración, o Entidad de Derecho Público vinculada o dependiente de aquélla (en adelante, organización), accederá a la Red SARA.</w:t>
      </w:r>
    </w:p>
    <w:p w:rsidR="00625E01" w:rsidRDefault="00625E01" w:rsidP="00747F5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625E01" w:rsidRPr="00625E01" w:rsidRDefault="00625E01" w:rsidP="00747F5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 w:rsidRPr="00625E01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Conexión a la Red SARA</w:t>
      </w:r>
    </w:p>
    <w:p w:rsidR="00747F5D" w:rsidRPr="00747F5D" w:rsidRDefault="00747F5D" w:rsidP="00747F5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F5D">
        <w:rPr>
          <w:rFonts w:ascii="Times New Roman" w:eastAsia="Times New Roman" w:hAnsi="Times New Roman" w:cs="Times New Roman"/>
          <w:sz w:val="24"/>
          <w:szCs w:val="24"/>
          <w:lang w:eastAsia="es-ES"/>
        </w:rPr>
        <w:t>El acceso a la Red SARA se realizará a través de lo que se denomina Punto de Presencia (</w:t>
      </w:r>
      <w:proofErr w:type="spellStart"/>
      <w:r w:rsidRPr="00747F5D">
        <w:rPr>
          <w:rFonts w:ascii="Times New Roman" w:eastAsia="Times New Roman" w:hAnsi="Times New Roman" w:cs="Times New Roman"/>
          <w:sz w:val="24"/>
          <w:szCs w:val="24"/>
          <w:lang w:eastAsia="es-ES"/>
        </w:rPr>
        <w:t>PdP</w:t>
      </w:r>
      <w:proofErr w:type="spellEnd"/>
      <w:r w:rsidRPr="00747F5D">
        <w:rPr>
          <w:rFonts w:ascii="Times New Roman" w:eastAsia="Times New Roman" w:hAnsi="Times New Roman" w:cs="Times New Roman"/>
          <w:sz w:val="24"/>
          <w:szCs w:val="24"/>
          <w:lang w:eastAsia="es-ES"/>
        </w:rPr>
        <w:t>) entendido como cualquier sede en la que existe una conexión directa a la Red SARA, sin presencia de ninguna organización intermedia.</w:t>
      </w:r>
    </w:p>
    <w:p w:rsidR="00747F5D" w:rsidRPr="00747F5D" w:rsidRDefault="00747F5D" w:rsidP="00747F5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F5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Entre los </w:t>
      </w:r>
      <w:proofErr w:type="spellStart"/>
      <w:r w:rsidRPr="00747F5D">
        <w:rPr>
          <w:rFonts w:ascii="Times New Roman" w:eastAsia="Times New Roman" w:hAnsi="Times New Roman" w:cs="Times New Roman"/>
          <w:sz w:val="24"/>
          <w:szCs w:val="24"/>
          <w:lang w:eastAsia="es-ES"/>
        </w:rPr>
        <w:t>PdPs</w:t>
      </w:r>
      <w:proofErr w:type="spellEnd"/>
      <w:r w:rsidRPr="00747F5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la Red SARA podrán distinguirse los siguientes tipos:</w:t>
      </w:r>
    </w:p>
    <w:p w:rsidR="00747F5D" w:rsidRPr="00747F5D" w:rsidRDefault="00747F5D" w:rsidP="00747F5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F5D">
        <w:rPr>
          <w:rFonts w:ascii="Times New Roman" w:eastAsia="Times New Roman" w:hAnsi="Times New Roman" w:cs="Times New Roman"/>
          <w:sz w:val="24"/>
          <w:szCs w:val="24"/>
          <w:lang w:eastAsia="es-ES"/>
        </w:rPr>
        <w:t>a) Proveedores de Acceso a la Red SARA (PAS).</w:t>
      </w:r>
    </w:p>
    <w:p w:rsidR="00747F5D" w:rsidRPr="00747F5D" w:rsidRDefault="00747F5D" w:rsidP="00747F5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F5D">
        <w:rPr>
          <w:rFonts w:ascii="Times New Roman" w:eastAsia="Times New Roman" w:hAnsi="Times New Roman" w:cs="Times New Roman"/>
          <w:sz w:val="24"/>
          <w:szCs w:val="24"/>
          <w:lang w:eastAsia="es-ES"/>
        </w:rPr>
        <w:t>b) Centros de Proceso de Datos (CPD) de SARA.</w:t>
      </w:r>
    </w:p>
    <w:p w:rsidR="00747F5D" w:rsidRPr="00625E01" w:rsidRDefault="00747F5D" w:rsidP="00747F5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625E0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c) Red </w:t>
      </w:r>
      <w:proofErr w:type="spellStart"/>
      <w:r w:rsidRPr="00625E0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sTESTA</w:t>
      </w:r>
      <w:proofErr w:type="spellEnd"/>
      <w:r w:rsidRPr="00625E0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(secure Trans-European Services for </w:t>
      </w:r>
      <w:proofErr w:type="spellStart"/>
      <w:r w:rsidRPr="00625E0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Telematics</w:t>
      </w:r>
      <w:proofErr w:type="spellEnd"/>
      <w:r w:rsidRPr="00625E0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between Administrations).</w:t>
      </w:r>
    </w:p>
    <w:p w:rsidR="00747F5D" w:rsidRPr="00747F5D" w:rsidRDefault="00747F5D" w:rsidP="00747F5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F5D">
        <w:rPr>
          <w:rFonts w:ascii="Times New Roman" w:eastAsia="Times New Roman" w:hAnsi="Times New Roman" w:cs="Times New Roman"/>
          <w:sz w:val="24"/>
          <w:szCs w:val="24"/>
          <w:lang w:eastAsia="es-ES"/>
        </w:rPr>
        <w:t>d) Centros externos de monitorización.</w:t>
      </w:r>
    </w:p>
    <w:p w:rsidR="00747F5D" w:rsidRPr="00747F5D" w:rsidRDefault="00747F5D" w:rsidP="00747F5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F5D">
        <w:rPr>
          <w:rFonts w:ascii="Times New Roman" w:eastAsia="Times New Roman" w:hAnsi="Times New Roman" w:cs="Times New Roman"/>
          <w:sz w:val="24"/>
          <w:szCs w:val="24"/>
          <w:lang w:eastAsia="es-ES"/>
        </w:rPr>
        <w:t>e) Prestadores de servicios de certificación.</w:t>
      </w:r>
    </w:p>
    <w:p w:rsidR="00747F5D" w:rsidRDefault="00747F5D" w:rsidP="00747F5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47F5D">
        <w:rPr>
          <w:rFonts w:ascii="Times New Roman" w:eastAsia="Times New Roman" w:hAnsi="Times New Roman" w:cs="Times New Roman"/>
          <w:sz w:val="24"/>
          <w:szCs w:val="24"/>
          <w:lang w:eastAsia="es-ES"/>
        </w:rPr>
        <w:t>f) Otros: como son las Ventanillas Únicas Empresariales.</w:t>
      </w:r>
    </w:p>
    <w:p w:rsidR="00747F5D" w:rsidRDefault="00747F5D" w:rsidP="00747F5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Los esquemas de conexión más típicos aparecen recogidos en la siguiente figura:</w:t>
      </w:r>
    </w:p>
    <w:p w:rsidR="00747F5D" w:rsidRDefault="00747F5D" w:rsidP="00747F5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747F5D" w:rsidRDefault="00747F5D" w:rsidP="00747F5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>
            <wp:extent cx="5400040" cy="3399446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99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5D" w:rsidRDefault="00747F5D" w:rsidP="00747F5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747F5D" w:rsidRDefault="00747F5D" w:rsidP="00747F5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03C0D" w:rsidRPr="00602D52" w:rsidRDefault="00F03C0D" w:rsidP="00F03C0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 w:rsidRPr="00602D52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lastRenderedPageBreak/>
        <w:t>Proveedore</w:t>
      </w:r>
      <w:r w:rsidR="00602D52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s de Acceso a la Red SARA (PAS)</w:t>
      </w:r>
    </w:p>
    <w:p w:rsidR="00F03C0D" w:rsidRPr="00F03C0D" w:rsidRDefault="00F03C0D" w:rsidP="00F03C0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03C0D">
        <w:rPr>
          <w:rFonts w:ascii="Times New Roman" w:eastAsia="Times New Roman" w:hAnsi="Times New Roman" w:cs="Times New Roman"/>
          <w:sz w:val="24"/>
          <w:szCs w:val="24"/>
          <w:lang w:eastAsia="es-ES"/>
        </w:rPr>
        <w:t>La conexión directa a la Red SARA se proporcionará a través de un Área de Conexión (AC) que se ubicará en las dependencias de la Administración pública correspondiente convirtiéndose ésta en Proveedor de Acceso a la Red SARA (PAS) para sus Unidades, Organismos y Entidades de Derecho Público dependientes y, en el caso de las Comunidades Autónomas, también para las Administraciones Locales de su ámbito territorial.</w:t>
      </w:r>
    </w:p>
    <w:p w:rsidR="00F03C0D" w:rsidRPr="00F03C0D" w:rsidRDefault="00F03C0D" w:rsidP="00F03C0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03C0D">
        <w:rPr>
          <w:rFonts w:ascii="Times New Roman" w:eastAsia="Times New Roman" w:hAnsi="Times New Roman" w:cs="Times New Roman"/>
          <w:sz w:val="24"/>
          <w:szCs w:val="24"/>
          <w:lang w:eastAsia="es-ES"/>
        </w:rPr>
        <w:t>Las organizaciones que no están adscritas a ningún organismo superior: Ministerios, Comunidades y ciudades con Estatuto de Autonomía y Órganos constitucionales, funcionarán como PAS a excepción de las Administraciones Locales que quedarán asignadas al PAS de la Comunidad Autónoma correspondiente.</w:t>
      </w:r>
    </w:p>
    <w:p w:rsidR="00747F5D" w:rsidRDefault="00F03C0D" w:rsidP="00F03C0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03C0D">
        <w:rPr>
          <w:rFonts w:ascii="Times New Roman" w:eastAsia="Times New Roman" w:hAnsi="Times New Roman" w:cs="Times New Roman"/>
          <w:sz w:val="24"/>
          <w:szCs w:val="24"/>
          <w:lang w:eastAsia="es-ES"/>
        </w:rPr>
        <w:t>Otros organismos públicos podrán asumir las funciones de PAS siempre que el MPTAP así lo establezca atendiendo a la singularidad del organismo o a la prestación, por parte de aquél, de servicios considerados singulares.</w:t>
      </w:r>
    </w:p>
    <w:p w:rsidR="00602D52" w:rsidRDefault="00602D52" w:rsidP="00F03C0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602D52" w:rsidRPr="00602D52" w:rsidRDefault="00602D52" w:rsidP="00602D52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 w:rsidRPr="00602D52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Órganos usuarios finales</w:t>
      </w:r>
    </w:p>
    <w:p w:rsidR="00602D52" w:rsidRPr="00602D52" w:rsidRDefault="00602D52" w:rsidP="00602D52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2D52">
        <w:rPr>
          <w:rFonts w:ascii="Times New Roman" w:eastAsia="Times New Roman" w:hAnsi="Times New Roman" w:cs="Times New Roman"/>
          <w:sz w:val="24"/>
          <w:szCs w:val="24"/>
          <w:lang w:eastAsia="es-ES"/>
        </w:rPr>
        <w:t>Todo órgano usuario final de la Red SARA accederá a ésta a través de una organización que ejercerá las funciones de PAS.</w:t>
      </w:r>
    </w:p>
    <w:p w:rsidR="00602D52" w:rsidRDefault="00602D52" w:rsidP="00602D52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02D52">
        <w:rPr>
          <w:rFonts w:ascii="Times New Roman" w:eastAsia="Times New Roman" w:hAnsi="Times New Roman" w:cs="Times New Roman"/>
          <w:sz w:val="24"/>
          <w:szCs w:val="24"/>
          <w:lang w:eastAsia="es-ES"/>
        </w:rPr>
        <w:t>Las características y dispositivos de la conexión de los órganos finales con el PAS correspondiente dependerán de las condiciones y mecanismos que disponga el propio PAS.</w:t>
      </w:r>
    </w:p>
    <w:p w:rsidR="00602D52" w:rsidRDefault="00602D52" w:rsidP="00602D52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602D52" w:rsidRPr="00CD4CB0" w:rsidRDefault="00602D52" w:rsidP="00CD4CB0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 w:rsidRPr="00CD4CB0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Es</w:t>
      </w:r>
      <w:r w:rsidR="00CD4CB0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quema del Área de Conexión (AC)</w:t>
      </w:r>
    </w:p>
    <w:p w:rsidR="00602D52" w:rsidRPr="00CD4CB0" w:rsidRDefault="00602D52" w:rsidP="00CD4CB0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D4C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AC de un PAS funcionará como punto único de conexión entre la red de la Administración pública correspondiente y sus organizaciones dependientes o asignadas al PAS, a las redes de otras administraciones y Entidades públicas conectadas a la Red SARA, así como a la Red </w:t>
      </w:r>
      <w:proofErr w:type="spellStart"/>
      <w:r w:rsidRPr="00CD4CB0">
        <w:rPr>
          <w:rFonts w:ascii="Times New Roman" w:eastAsia="Times New Roman" w:hAnsi="Times New Roman" w:cs="Times New Roman"/>
          <w:sz w:val="24"/>
          <w:szCs w:val="24"/>
          <w:lang w:eastAsia="es-ES"/>
        </w:rPr>
        <w:t>sTESTA</w:t>
      </w:r>
      <w:proofErr w:type="spellEnd"/>
      <w:r w:rsidRPr="00CD4C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la Comisión Europea.</w:t>
      </w:r>
    </w:p>
    <w:p w:rsidR="00602D52" w:rsidRPr="00CD4CB0" w:rsidRDefault="00602D52" w:rsidP="00CD4CB0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D4CB0">
        <w:rPr>
          <w:rFonts w:ascii="Times New Roman" w:eastAsia="Times New Roman" w:hAnsi="Times New Roman" w:cs="Times New Roman"/>
          <w:sz w:val="24"/>
          <w:szCs w:val="24"/>
          <w:lang w:eastAsia="es-ES"/>
        </w:rPr>
        <w:t>La estructura del AC responderá al esquema de una zona desmilitarizada (DMZ) delimitada por un subsistema de seguridad externo, que conectará con el resto de la Red SARA, y un subsistema de seguridad interno hacia el interior de la organización.</w:t>
      </w:r>
    </w:p>
    <w:p w:rsidR="00602D52" w:rsidRPr="00CD4CB0" w:rsidRDefault="00602D52" w:rsidP="00CD4CB0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D4CB0">
        <w:rPr>
          <w:rFonts w:ascii="Times New Roman" w:eastAsia="Times New Roman" w:hAnsi="Times New Roman" w:cs="Times New Roman"/>
          <w:sz w:val="24"/>
          <w:szCs w:val="24"/>
          <w:lang w:eastAsia="es-ES"/>
        </w:rPr>
        <w:t>Los elementos del AC, además de proporcionar seguridad perimetral, albergarán los servicios telemáticos básicos prestados por la Red SARA: DNS, SMTP, NTP, Proxy y Proxy inverso.</w:t>
      </w:r>
    </w:p>
    <w:p w:rsidR="00602D52" w:rsidRPr="00CD4CB0" w:rsidRDefault="00602D52" w:rsidP="00CD4CB0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D4CB0">
        <w:rPr>
          <w:rFonts w:ascii="Times New Roman" w:eastAsia="Times New Roman" w:hAnsi="Times New Roman" w:cs="Times New Roman"/>
          <w:sz w:val="24"/>
          <w:szCs w:val="24"/>
          <w:lang w:eastAsia="es-ES"/>
        </w:rPr>
        <w:t>El subsistema de seguridad externo será el encargado de establecer una red privada virtual (VPN) hacia el resto de sedes de la Red SARA, con lo que todas las comunicaciones, a través del operador de servicios de telecomunicaciones, estarán cifradas mediante túneles.</w:t>
      </w:r>
    </w:p>
    <w:p w:rsidR="00602D52" w:rsidRDefault="00602D52" w:rsidP="00602D52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D4C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la zona intermedia, DMZ, será posible conectar cualquier equipo que la organización considere conveniente utilizar para la comunicación con el resto de organizaciones que componen la Red. </w:t>
      </w:r>
    </w:p>
    <w:p w:rsidR="002317FF" w:rsidRPr="002317FF" w:rsidRDefault="002317FF" w:rsidP="002317FF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7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organizaciones que se conecten a la Red SARA aplicarán el Plan de direccionamiento e Interconexión de Redes en la Administración establecido por la Dirección General </w:t>
      </w:r>
      <w:r w:rsidR="00356C97">
        <w:rPr>
          <w:rFonts w:ascii="Times New Roman" w:eastAsia="Times New Roman" w:hAnsi="Times New Roman" w:cs="Times New Roman"/>
          <w:sz w:val="24"/>
          <w:szCs w:val="24"/>
          <w:lang w:eastAsia="es-ES"/>
        </w:rPr>
        <w:t>de Modernización Administrativa, Procedimientos e</w:t>
      </w:r>
      <w:r w:rsidRPr="002317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Impulso de la Ad</w:t>
      </w:r>
      <w:r w:rsidR="00356C97">
        <w:rPr>
          <w:rFonts w:ascii="Times New Roman" w:eastAsia="Times New Roman" w:hAnsi="Times New Roman" w:cs="Times New Roman"/>
          <w:sz w:val="24"/>
          <w:szCs w:val="24"/>
          <w:lang w:eastAsia="es-ES"/>
        </w:rPr>
        <w:t>ministración Electrónica</w:t>
      </w:r>
      <w:r w:rsidRPr="002317F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B1EBA" w:rsidRDefault="001B1EBA" w:rsidP="00602D52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El esquema simplificado de un área de conexión es el siguiente:</w:t>
      </w:r>
    </w:p>
    <w:p w:rsidR="001B1EBA" w:rsidRDefault="001B1EBA" w:rsidP="00602D52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>
            <wp:extent cx="5400040" cy="2563845"/>
            <wp:effectExtent l="1905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3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1EBA" w:rsidRDefault="001B1EBA" w:rsidP="00602D52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1B1EBA" w:rsidRPr="00747F5D" w:rsidRDefault="001271B1" w:rsidP="00602D52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71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soporte y la gestión de incidentes de la Red SARA se prestarán de manera conjunta entre el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Ministerio de Hacienda y Administraciones Públicas</w:t>
      </w:r>
      <w:r w:rsidRPr="001271B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los PAS, a través de sus correspondientes equipos dedicados a estos servicios.</w:t>
      </w:r>
    </w:p>
    <w:sectPr w:rsidR="001B1EBA" w:rsidRPr="00747F5D" w:rsidSect="002A4F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47F5D"/>
    <w:rsid w:val="001271B1"/>
    <w:rsid w:val="001B1EBA"/>
    <w:rsid w:val="0020096F"/>
    <w:rsid w:val="002317FF"/>
    <w:rsid w:val="002A4F41"/>
    <w:rsid w:val="00356C97"/>
    <w:rsid w:val="00602D52"/>
    <w:rsid w:val="00625E01"/>
    <w:rsid w:val="006978B4"/>
    <w:rsid w:val="00747F5D"/>
    <w:rsid w:val="0076107E"/>
    <w:rsid w:val="0076650C"/>
    <w:rsid w:val="007D55D8"/>
    <w:rsid w:val="008D3E99"/>
    <w:rsid w:val="00961158"/>
    <w:rsid w:val="00BC2E41"/>
    <w:rsid w:val="00CD4CB0"/>
    <w:rsid w:val="00F03C0D"/>
    <w:rsid w:val="00F537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4F4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9">
    <w:name w:val="Pa9"/>
    <w:basedOn w:val="Normal"/>
    <w:next w:val="Normal"/>
    <w:uiPriority w:val="99"/>
    <w:rsid w:val="00747F5D"/>
    <w:pPr>
      <w:autoSpaceDE w:val="0"/>
      <w:autoSpaceDN w:val="0"/>
      <w:adjustRightInd w:val="0"/>
      <w:spacing w:after="0" w:line="201" w:lineRule="atLeast"/>
    </w:pPr>
    <w:rPr>
      <w:rFonts w:ascii="Arial" w:hAnsi="Arial" w:cs="Arial"/>
      <w:sz w:val="24"/>
      <w:szCs w:val="24"/>
    </w:rPr>
  </w:style>
  <w:style w:type="paragraph" w:customStyle="1" w:styleId="Pa6">
    <w:name w:val="Pa6"/>
    <w:basedOn w:val="Normal"/>
    <w:next w:val="Normal"/>
    <w:uiPriority w:val="99"/>
    <w:rsid w:val="00747F5D"/>
    <w:pPr>
      <w:autoSpaceDE w:val="0"/>
      <w:autoSpaceDN w:val="0"/>
      <w:adjustRightInd w:val="0"/>
      <w:spacing w:after="0" w:line="201" w:lineRule="atLeast"/>
    </w:pPr>
    <w:rPr>
      <w:rFonts w:ascii="Arial" w:hAnsi="Arial" w:cs="Arial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47F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47F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641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Administraciones Publicas</Company>
  <LinksUpToDate>false</LinksUpToDate>
  <CharactersWithSpaces>4160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jl.barron</dc:creator>
  <cp:lastModifiedBy>jl.barron</cp:lastModifiedBy>
  <cp:revision>9</cp:revision>
  <dcterms:created xsi:type="dcterms:W3CDTF">2014-09-10T11:48:00Z</dcterms:created>
  <dcterms:modified xsi:type="dcterms:W3CDTF">2014-09-16T10:37:00Z</dcterms:modified>
</cp:coreProperties>
</file>