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Chapter 1  答疑</w:t>
      </w:r>
    </w:p>
    <w:p>
      <w:pPr>
        <w:numPr>
          <w:ilvl w:val="0"/>
          <w:numId w:val="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cout、cerr和clog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cout 的内容会先存储在缓冲区中，当收到\n或std::endl或手动刷新后，才会将内容写到文件中，如： </w:t>
      </w:r>
      <w:r>
        <w:rPr>
          <w:rFonts w:ascii="Consolas" w:hAnsi="Consolas" w:eastAsia="Consolas" w:cs="Consolas"/>
          <w:sz w:val="22"/>
          <w:shd w:val="clear" w:fill="EFF0F1"/>
        </w:rPr>
        <w:t>/proc/self/fd/1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cerr的内容不会存到缓冲区，会直接存储到文件中，如：</w:t>
      </w:r>
      <w:r>
        <w:rPr>
          <w:rFonts w:ascii="Consolas" w:hAnsi="Consolas" w:eastAsia="Consolas" w:cs="Consolas"/>
          <w:sz w:val="22"/>
          <w:shd w:val="clear" w:fill="EFF0F1"/>
        </w:rPr>
        <w:t>/proc/self/fd/2</w:t>
      </w:r>
      <w:r>
        <w:rPr>
          <w:rFonts w:ascii="Arial" w:hAnsi="Arial" w:eastAsia="等线" w:cs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因此若程序崩溃中断，有可能cout的内容还在缓冲区，没有被写入文件，但cerr不存在这个问题。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clog有缓冲区，存储路径和cerr相同。</w:t>
      </w:r>
    </w:p>
    <w:p>
      <w:p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./main 1&gt;dev/null</w:t>
      </w:r>
      <w:r>
        <w:rPr>
          <w:rFonts w:ascii="Arial" w:hAnsi="Arial" w:eastAsia="等线" w:cs="Arial"/>
          <w:sz w:val="22"/>
        </w:rPr>
        <w:t xml:space="preserve"> ：不在终端中打印储存在</w:t>
      </w:r>
      <w:r>
        <w:rPr>
          <w:rFonts w:ascii="Consolas" w:hAnsi="Consolas" w:eastAsia="Consolas" w:cs="Consolas"/>
          <w:sz w:val="22"/>
          <w:shd w:val="clear" w:fill="EFF0F1"/>
        </w:rPr>
        <w:t>/proc/self/fd/1</w:t>
      </w:r>
      <w:r>
        <w:rPr>
          <w:rFonts w:ascii="Arial" w:hAnsi="Arial" w:eastAsia="等线" w:cs="Arial"/>
          <w:sz w:val="22"/>
        </w:rPr>
        <w:t>中的输出。</w:t>
      </w:r>
    </w:p>
    <w:p>
      <w:pPr>
        <w:numPr>
          <w:ilvl w:val="0"/>
          <w:numId w:val="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main函数 return 0 和 return -1的区别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0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C++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./main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echo $?  // $?表示上一个程序的返回值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如果main return 0, 则echo的结果为0，如果main return -1，则echo结果为255。</w:t>
      </w:r>
    </w:p>
    <w:p>
      <w:pPr>
        <w:numPr>
          <w:ilvl w:val="0"/>
          <w:numId w:val="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cout 设置格式 操作符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0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C++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std::cout &lt;&lt; std::hex &lt;&lt; 1 &lt;&lt; std::dec &lt;&lt; std::endl;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操作符会持续起作用，直到遇到下一个操作符，本例中为std::dec;</w:t>
      </w:r>
    </w:p>
    <w:p>
      <w:pPr>
        <w:numPr>
          <w:ilvl w:val="0"/>
          <w:numId w:val="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类若想使用cin,cout,需要输入输出重载 &gt;&gt; 或者 &lt;&lt; , 参考14章第二节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0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C++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std::cin &gt;&gt; item;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等效于 operator&gt;&gt;(std::cin,item) 或 std::cin.&gt;&gt;(item)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自定义类若没有重载&gt;&gt;运算符，编译阶段就会因为找不到对应的 &gt;&gt;函数而报错</w:t>
            </w:r>
          </w:p>
        </w:tc>
      </w:tr>
    </w:tbl>
    <w:p>
      <w:pPr>
        <w:numPr>
          <w:ilvl w:val="0"/>
          <w:numId w:val="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程序运行main之前，会执行所有全局变量的创建，析构在main执行后。也可以通过注册将某些函数的执行提到main函数之前</w:t>
      </w:r>
    </w:p>
    <w:p>
      <w:pPr>
        <w:numPr>
          <w:ilvl w:val="0"/>
          <w:numId w:val="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CMakeList 和 g++的关系：CMakeList生成makefile，makefile调用g++或gcc等编辑器来生成程序。CMakeList的好处在于封装方便。编译的全局变量只属于g++或gcc,只不过相当于CMakeList层层传参，头文件的链接也是g++等编辑器完成。</w:t>
      </w:r>
    </w:p>
    <w:p>
      <w:pPr>
        <w:numPr>
          <w:ilvl w:val="0"/>
          <w:numId w:val="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问：makefile中全局的宏定义没有在CMakeList中找到，这种宏定义如何设置？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答：CMakelist中的都会对应到makefile中的定义。</w:t>
      </w:r>
    </w:p>
    <w:p>
      <w:pPr>
        <w:numPr>
          <w:ilvl w:val="0"/>
          <w:numId w:val="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如何判断CMakeList中该使用INCLUDE_DIR 还是INCLUDE_DIRS？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答：待定</w:t>
      </w:r>
    </w:p>
    <w:p>
      <w:pPr>
        <w:numPr>
          <w:ilvl w:val="0"/>
          <w:numId w:val="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CMakeList中的变量可以通过message命令查看</w:t>
      </w:r>
    </w:p>
    <w:p>
      <w:pPr>
        <w:numPr>
          <w:ilvl w:val="0"/>
          <w:numId w:val="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编译的四个阶段：预处理、编译、汇编、链接</w:t>
      </w:r>
    </w:p>
    <w:p>
      <w:pPr>
        <w:numPr>
          <w:ilvl w:val="0"/>
          <w:numId w:val="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链接：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10"/>
        <w:gridCol w:w="2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2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B="0" distL="0" distR="0">
                  <wp:extent cx="3790950" cy="1295400"/>
                  <wp:effectExtent l="0" t="0" r="0" b="0"/>
                  <wp:docPr id="1" name="Drawing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B="0" distL="0" distR="0">
                  <wp:extent cx="1295400" cy="1219200"/>
                  <wp:effectExtent l="0" t="0" r="0" b="0"/>
                  <wp:docPr id="2" name="Draw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待办问题：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CPU和GPU的内存调用耗时问题？以及文件读写的底层机理？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std::cin 的解析规则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1" o:spid="_x0000_s2049" o:spt="136" type="#_x0000_t136" style="position:absolute;left:0pt;height:24pt;width:100pt;mso-position-horizontal:center;mso-position-horizontal-relative:margin;mso-position-vertical:center;mso-position-vertical-relative:margin;rotation:20643840f;z-index:-251656192;mso-width-relative:page;mso-height-relative:page;" fillcolor="#000000" filled="t" stroked="f" coordsize="21600,21600">
          <v:path/>
          <v:fill on="t" opacity="19661f" focussize="0,0"/>
          <v:stroke on="f"/>
          <v:imagedata o:title=""/>
          <o:lock v:ext="edit"/>
          <v:textpath on="t" fitpath="t" trim="f" xscale="f" string=" 何旭 7594" style="font-family:Lantinghei SC Demibold;font-size:2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3" o:spid="_x0000_s2051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 何旭 7594" style="font-family:&amp;quot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" o:spid="_x0000_s2050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 何旭 7594" style="font-family:&amp;quot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FF4CC"/>
    <w:multiLevelType w:val="singleLevel"/>
    <w:tmpl w:val="EFDFF4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2C0C7"/>
    <w:multiLevelType w:val="singleLevel"/>
    <w:tmpl w:val="FFF2C0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FFEFA3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2022-09-20T08:09:00Z</dcterms:created>
  <dc:creator>Apache POI</dc:creator>
  <cp:lastModifiedBy>pxing</cp:lastModifiedBy>
  <dcterms:modified xsi:type="dcterms:W3CDTF">2022-09-20T09:11:59Z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