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Квартальный отчёт Q1 2025</w:t>
      </w:r>
    </w:p>
    <w:p>
      <w:r>
        <w:t>Выручка за первый квартал составила 42,42 млн евро.</w:t>
      </w:r>
    </w:p>
    <w:p>
      <w:r>
        <w:t>Основной доход получен от цифровых продуктов и онлайн-консалтинга.</w:t>
      </w:r>
    </w:p>
    <w:p>
      <w:r>
        <w:t>Количество клиентов выросло на 13,37% по сравнению с прошлым кварталом.</w:t>
      </w:r>
    </w:p>
    <w:p>
      <w:r>
        <w:t>Средний чек увеличился до 9 001 евро.</w:t>
      </w:r>
    </w:p>
    <w:p>
      <w:r>
        <w:t>Во втором квартале планируется усилить IT-инфраструктуру и автоматизацию процессов.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