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b0c381be1b2ca751a1194cd129535c44180403"/>
    <w:p>
      <w:pPr>
        <w:pStyle w:val="Heading2"/>
      </w:pPr>
      <w:r>
        <w:t xml:space="preserve">Appendix 19.A Observer Coverage and Sampling of the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2023-11-28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7"/>
        <w:gridCol w:w="953"/>
        <w:gridCol w:w="1015"/>
        <w:gridCol w:w="1138"/>
        <w:gridCol w:w="1138"/>
        <w:gridCol w:w="1015"/>
        <w:gridCol w:w="1015"/>
        <w:gridCol w:w="1138"/>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26,285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30,023</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28,887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27,325</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7,477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40,545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51,812</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47,667</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33,980</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20,879</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7,204</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17,380</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r>
      <w:tr>
        <w:trPr>
          <w:trHeight w:val="562"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5"/>
        <w:gridCol w:w="1099"/>
        <w:gridCol w:w="1312"/>
        <w:gridCol w:w="1170"/>
        <w:gridCol w:w="1351"/>
        <w:gridCol w:w="957"/>
        <w:gridCol w:w="1336"/>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8"/>
        <w:gridCol w:w="1001"/>
        <w:gridCol w:w="1066"/>
        <w:gridCol w:w="1066"/>
        <w:gridCol w:w="1195"/>
        <w:gridCol w:w="958"/>
        <w:gridCol w:w="871"/>
        <w:gridCol w:w="1195"/>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8,359</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11,657</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14,083</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10,116</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9,161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13,166</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13,388</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18,896</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5,344</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8"/>
        <w:gridCol w:w="1078"/>
        <w:gridCol w:w="1047"/>
        <w:gridCol w:w="1047"/>
        <w:gridCol w:w="1093"/>
        <w:gridCol w:w="923"/>
        <w:gridCol w:w="1032"/>
        <w:gridCol w:w="1032"/>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501</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637</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pcod_obs_coverage_goa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pcod_obs_coverage_goa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pcod_obs_coverage_goa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pcod_obs_coverage_goa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pcod_obs_coverage_goa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pcod_obs_coverage_goa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pcod_obs_coverage_goa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pcod_obs_coverage_goa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pcod_obs_coverage_goa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pcod_obs_coverage_goa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pcod_obs_coverage_goa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pcod_obs_coverage_goa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pcod_obs_coverage_goa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pcod_obs_coverage_goa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2023-11-28T22:41:04Z</dcterms:created>
  <dcterms:modified xsi:type="dcterms:W3CDTF">2023-11-28T22:41:04Z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