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56" w:rsidRDefault="00BB0656">
      <w:pPr>
        <w:pStyle w:val="ConsPlusTitle"/>
        <w:jc w:val="center"/>
        <w:outlineLvl w:val="0"/>
      </w:pPr>
      <w:bookmarkStart w:id="0" w:name="_GoBack"/>
      <w:bookmarkEnd w:id="0"/>
      <w:r>
        <w:t>ПРАВИТЕЛЬСТВО РОССИЙСКОЙ ФЕДЕРАЦИИ</w:t>
      </w:r>
    </w:p>
    <w:p w:rsidR="00BB0656" w:rsidRDefault="00BB0656">
      <w:pPr>
        <w:pStyle w:val="ConsPlusTitle"/>
        <w:jc w:val="center"/>
      </w:pPr>
    </w:p>
    <w:p w:rsidR="00BB0656" w:rsidRDefault="00BB0656">
      <w:pPr>
        <w:pStyle w:val="ConsPlusTitle"/>
        <w:jc w:val="center"/>
      </w:pPr>
      <w:r>
        <w:t>ПОСТАНОВЛЕНИЕ</w:t>
      </w:r>
    </w:p>
    <w:p w:rsidR="00BB0656" w:rsidRDefault="00BB0656">
      <w:pPr>
        <w:pStyle w:val="ConsPlusTitle"/>
        <w:jc w:val="center"/>
      </w:pPr>
      <w:r>
        <w:t>от 30 декабря 2015 г. N 1490</w:t>
      </w:r>
    </w:p>
    <w:p w:rsidR="00BB0656" w:rsidRDefault="00BB0656">
      <w:pPr>
        <w:pStyle w:val="ConsPlusTitle"/>
        <w:jc w:val="center"/>
      </w:pPr>
    </w:p>
    <w:p w:rsidR="00BB0656" w:rsidRDefault="00BB0656">
      <w:pPr>
        <w:pStyle w:val="ConsPlusTitle"/>
        <w:jc w:val="center"/>
      </w:pPr>
      <w:r>
        <w:t>ОБ ОСУЩЕСТВЛЕНИИ</w:t>
      </w:r>
    </w:p>
    <w:p w:rsidR="00BB0656" w:rsidRDefault="00BB0656">
      <w:pPr>
        <w:pStyle w:val="ConsPlusTitle"/>
        <w:jc w:val="center"/>
      </w:pPr>
      <w:r>
        <w:t xml:space="preserve">ПУБЛИЧНЫМ ПАРТНЕРОМ </w:t>
      </w:r>
      <w:proofErr w:type="gramStart"/>
      <w:r>
        <w:t>КОНТРОЛЯ ЗА</w:t>
      </w:r>
      <w:proofErr w:type="gramEnd"/>
      <w:r>
        <w:t xml:space="preserve"> ИСПОЛНЕНИЕМ СОГЛАШЕНИЯ</w:t>
      </w:r>
    </w:p>
    <w:p w:rsidR="00BB0656" w:rsidRDefault="00BB0656">
      <w:pPr>
        <w:pStyle w:val="ConsPlusTitle"/>
        <w:jc w:val="center"/>
      </w:pPr>
      <w:r>
        <w:t>О ГОСУДАРСТВЕННО-ЧАСТНОМ ПАРТНЕРСТВЕ И СОГЛАШЕНИЯ</w:t>
      </w:r>
    </w:p>
    <w:p w:rsidR="00BB0656" w:rsidRDefault="00BB0656">
      <w:pPr>
        <w:pStyle w:val="ConsPlusTitle"/>
        <w:jc w:val="center"/>
      </w:pPr>
      <w:r>
        <w:t>О МУНИЦИПАЛЬНО-ЧАСТНОМ ПАРТНЕРСТВЕ</w:t>
      </w:r>
    </w:p>
    <w:p w:rsidR="00BB0656" w:rsidRDefault="00BB0656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B0656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656" w:rsidRDefault="00BB0656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656" w:rsidRDefault="00BB0656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B0656" w:rsidRDefault="00BB065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B0656" w:rsidRDefault="00BB0656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24.11.2022 N 2139)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656" w:rsidRDefault="00BB0656">
            <w:pPr>
              <w:pStyle w:val="ConsPlusNormal"/>
            </w:pPr>
          </w:p>
        </w:tc>
      </w:tr>
    </w:tbl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6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Правительство Российской Федерации постановляет: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0">
        <w:r>
          <w:rPr>
            <w:color w:val="0000FF"/>
          </w:rPr>
          <w:t>Правила</w:t>
        </w:r>
      </w:hyperlink>
      <w:r>
        <w:t xml:space="preserve"> осуществления публичным партнером </w:t>
      </w:r>
      <w:proofErr w:type="gramStart"/>
      <w:r>
        <w:t>контроля за</w:t>
      </w:r>
      <w:proofErr w:type="gramEnd"/>
      <w:r>
        <w:t xml:space="preserve"> исполнением соглашения о государственно-частном партнерстве и соглашения о </w:t>
      </w:r>
      <w:proofErr w:type="spellStart"/>
      <w:r>
        <w:t>муниципально</w:t>
      </w:r>
      <w:proofErr w:type="spellEnd"/>
      <w:r>
        <w:t>-частном партнерстве.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2016 г.</w:t>
      </w: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jc w:val="right"/>
      </w:pPr>
      <w:r>
        <w:t>Председатель Правительства</w:t>
      </w:r>
    </w:p>
    <w:p w:rsidR="00BB0656" w:rsidRDefault="00BB0656">
      <w:pPr>
        <w:pStyle w:val="ConsPlusNormal"/>
        <w:jc w:val="right"/>
      </w:pPr>
      <w:r>
        <w:t>Российской Федерации</w:t>
      </w:r>
    </w:p>
    <w:p w:rsidR="00BB0656" w:rsidRDefault="00BB0656">
      <w:pPr>
        <w:pStyle w:val="ConsPlusNormal"/>
        <w:jc w:val="right"/>
      </w:pPr>
      <w:r>
        <w:t>Д.МЕДВЕДЕВ</w:t>
      </w: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jc w:val="right"/>
        <w:outlineLvl w:val="0"/>
      </w:pPr>
      <w:r>
        <w:t>Утверждены</w:t>
      </w:r>
    </w:p>
    <w:p w:rsidR="00BB0656" w:rsidRDefault="00BB0656">
      <w:pPr>
        <w:pStyle w:val="ConsPlusNormal"/>
        <w:jc w:val="right"/>
      </w:pPr>
      <w:r>
        <w:t>постановлением Правительства</w:t>
      </w:r>
    </w:p>
    <w:p w:rsidR="00BB0656" w:rsidRDefault="00BB0656">
      <w:pPr>
        <w:pStyle w:val="ConsPlusNormal"/>
        <w:jc w:val="right"/>
      </w:pPr>
      <w:r>
        <w:t>Российской Федерации</w:t>
      </w:r>
    </w:p>
    <w:p w:rsidR="00BB0656" w:rsidRDefault="00BB0656">
      <w:pPr>
        <w:pStyle w:val="ConsPlusNormal"/>
        <w:jc w:val="right"/>
      </w:pPr>
      <w:r>
        <w:t>от 30 декабря 2015 г. N 1490</w:t>
      </w: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Title"/>
        <w:jc w:val="center"/>
      </w:pPr>
      <w:bookmarkStart w:id="1" w:name="P30"/>
      <w:bookmarkEnd w:id="1"/>
      <w:r>
        <w:t>ПРАВИЛА</w:t>
      </w:r>
    </w:p>
    <w:p w:rsidR="00BB0656" w:rsidRDefault="00BB0656">
      <w:pPr>
        <w:pStyle w:val="ConsPlusTitle"/>
        <w:jc w:val="center"/>
      </w:pPr>
      <w:r>
        <w:t xml:space="preserve">ОСУЩЕСТВЛЕНИЯ ПУБЛИЧНЫМ ПАРТНЕРОМ </w:t>
      </w:r>
      <w:proofErr w:type="gramStart"/>
      <w:r>
        <w:t>КОНТРОЛЯ ЗА</w:t>
      </w:r>
      <w:proofErr w:type="gramEnd"/>
      <w:r>
        <w:t xml:space="preserve"> ИСПОЛНЕНИЕМ</w:t>
      </w:r>
    </w:p>
    <w:p w:rsidR="00BB0656" w:rsidRDefault="00BB0656">
      <w:pPr>
        <w:pStyle w:val="ConsPlusTitle"/>
        <w:jc w:val="center"/>
      </w:pPr>
      <w:r>
        <w:t>СОГЛАШЕНИЯ О ГОСУДАРСТВЕННО-ЧАСТНОМ ПАРТНЕРСТВЕ</w:t>
      </w:r>
    </w:p>
    <w:p w:rsidR="00BB0656" w:rsidRDefault="00BB0656">
      <w:pPr>
        <w:pStyle w:val="ConsPlusTitle"/>
        <w:jc w:val="center"/>
      </w:pPr>
      <w:r>
        <w:t>И СОГЛАШЕНИЯ О МУНИЦИПАЛЬНО-ЧАСТНОМ ПАРТНЕРСТВЕ</w:t>
      </w:r>
    </w:p>
    <w:p w:rsidR="00BB0656" w:rsidRDefault="00BB0656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B0656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656" w:rsidRDefault="00BB0656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656" w:rsidRDefault="00BB0656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B0656" w:rsidRDefault="00BB065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B0656" w:rsidRDefault="00BB0656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24.11.2022 N 2139)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656" w:rsidRDefault="00BB0656">
            <w:pPr>
              <w:pStyle w:val="ConsPlusNormal"/>
            </w:pPr>
          </w:p>
        </w:tc>
      </w:tr>
    </w:tbl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ind w:firstLine="540"/>
        <w:jc w:val="both"/>
      </w:pPr>
      <w:r>
        <w:t xml:space="preserve">1. Настоящие Правила устанавливают порядок осуществления публичным партнером </w:t>
      </w:r>
      <w:proofErr w:type="gramStart"/>
      <w:r>
        <w:t>контроля за</w:t>
      </w:r>
      <w:proofErr w:type="gramEnd"/>
      <w:r>
        <w:t xml:space="preserve"> исполнением соглашения о государственно-частном партнерстве и соглашения о </w:t>
      </w:r>
      <w:proofErr w:type="spellStart"/>
      <w:r>
        <w:t>муниципально</w:t>
      </w:r>
      <w:proofErr w:type="spellEnd"/>
      <w:r>
        <w:t>-частном партнерстве (далее - соглашение), в том числе за соблюдением частным партнером условий соглашения (далее - контроль за исполнением соглашения).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2. Целями осуществления публичным партнером </w:t>
      </w:r>
      <w:proofErr w:type="gramStart"/>
      <w:r>
        <w:t>контроля за</w:t>
      </w:r>
      <w:proofErr w:type="gramEnd"/>
      <w:r>
        <w:t xml:space="preserve"> исполнением соглашения являются выявление и предотвращение нарушений частным партнером условий соглашения.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lastRenderedPageBreak/>
        <w:t xml:space="preserve">3. </w:t>
      </w:r>
      <w:proofErr w:type="gramStart"/>
      <w:r>
        <w:t>Контроль за</w:t>
      </w:r>
      <w:proofErr w:type="gramEnd"/>
      <w:r>
        <w:t xml:space="preserve"> исполнением соглашения осуществляется публичным партнером, органами государственной власти и органами местного самоуправления (далее - государственные органы), юридическими лицами, выступающими на стороне публичного партнера, которые на основании соглашения имеют право беспрепятственного доступа на объект соглашения и к документации, относящейся к осуществлению деятельности, предусмотренной соглашением.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4. Публичный партнер, а также государственные органы и юридические лица, выступающие на стороне публичного партнера в соответствии с соглашением, вправе привлекать экспертные организации для участия в осуществлении </w:t>
      </w:r>
      <w:proofErr w:type="gramStart"/>
      <w:r>
        <w:t>контроля за</w:t>
      </w:r>
      <w:proofErr w:type="gramEnd"/>
      <w:r>
        <w:t xml:space="preserve"> исполнением соглашения в качестве контролирующих лиц, действующих от имени публичного партнера. Для проверки соответствия разработанной частным партнером проектной документации заданию на проектирование и иным положениям соглашения при необходимости создаются комиссии и экспертные группы, в том числе с участием представителей частного партнера.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5. Перечень выступающих на стороне публичного партнера государственных органов и юридических лиц, а также их полномочия при осуществлении </w:t>
      </w:r>
      <w:proofErr w:type="gramStart"/>
      <w:r>
        <w:t>контроля за</w:t>
      </w:r>
      <w:proofErr w:type="gramEnd"/>
      <w:r>
        <w:t xml:space="preserve"> исполнением соглашения предусматриваются соглашением.</w:t>
      </w:r>
    </w:p>
    <w:p w:rsidR="00BB0656" w:rsidRDefault="00BB0656">
      <w:pPr>
        <w:pStyle w:val="ConsPlusNormal"/>
        <w:spacing w:before="220"/>
        <w:ind w:firstLine="540"/>
        <w:jc w:val="both"/>
      </w:pPr>
      <w:bookmarkStart w:id="2" w:name="P42"/>
      <w:bookmarkEnd w:id="2"/>
      <w:r>
        <w:t xml:space="preserve">6. </w:t>
      </w:r>
      <w:proofErr w:type="gramStart"/>
      <w:r>
        <w:t>Контроль за</w:t>
      </w:r>
      <w:proofErr w:type="gramEnd"/>
      <w:r>
        <w:t xml:space="preserve"> исполнением соглашения осуществляется на основании плана, утверждаемого публичным партнером, посредством проведения плановых контрольных мероприятий на каждой стадии реализации соглашения не реже одного раза в квартал календарного года. Указанный план на очередной календарный год составляется не </w:t>
      </w:r>
      <w:proofErr w:type="gramStart"/>
      <w:r>
        <w:t>позднее</w:t>
      </w:r>
      <w:proofErr w:type="gramEnd"/>
      <w:r>
        <w:t xml:space="preserve"> чем за один месяц до окончания текущего года.</w:t>
      </w:r>
    </w:p>
    <w:p w:rsidR="00BB0656" w:rsidRDefault="00BB0656">
      <w:pPr>
        <w:pStyle w:val="ConsPlusNormal"/>
        <w:jc w:val="both"/>
      </w:pPr>
      <w:r>
        <w:t xml:space="preserve">(в ред. </w:t>
      </w:r>
      <w:hyperlink r:id="rId8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7. В плане, указанном в </w:t>
      </w:r>
      <w:hyperlink w:anchor="P42">
        <w:r>
          <w:rPr>
            <w:color w:val="0000FF"/>
          </w:rPr>
          <w:t>пункте 6</w:t>
        </w:r>
      </w:hyperlink>
      <w:r>
        <w:t xml:space="preserve"> настоящих Правил, указываются: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а) наименование частного партнера, в отношении которого проводятся контрольные мероприятия;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б) место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в) предмет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г) период контрольных мероприятий (количество дней);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д) срок проведения контрольных мероприятий (дата начала и окончания проведения контрольных мероприятий).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>В случае получения публичным партнером от юридических лиц, граждан (индивидуальных предпринимателей) и органов государственной власти сведений в письменной форме о нарушении частным партнером условий соглашения, которое может стать основанием для обращения в суд с заявлением о расторжении соглашения, а также в целях проверки исполнения частным партнером предписаний об устранении выявленных нарушений проводится внеплановое контрольное мероприятие.</w:t>
      </w:r>
      <w:proofErr w:type="gramEnd"/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9. Не </w:t>
      </w:r>
      <w:proofErr w:type="gramStart"/>
      <w:r>
        <w:t>позднее</w:t>
      </w:r>
      <w:proofErr w:type="gramEnd"/>
      <w:r>
        <w:t xml:space="preserve"> чем за 14 календарных дней до даты начала проведения внепланового контрольного мероприятия частному партнеру направляется по почте заказным письмом уведомление о проведении контрольного мероприятия, которое содержит: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а) фамилию, имя, отчество и полное наименование должности проверяющего физического лица (далее - </w:t>
      </w:r>
      <w:proofErr w:type="gramStart"/>
      <w:r>
        <w:t>проверяющий</w:t>
      </w:r>
      <w:proofErr w:type="gramEnd"/>
      <w:r>
        <w:t>), являющегося представителем публичного партнера, государственного органа и (или) юридического лица;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б) место контрольного мероприятия;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lastRenderedPageBreak/>
        <w:t>в) предмет контрольного мероприятия;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г) период контрольного мероприятия (количество дней);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д) срок проведения контрольного мероприятия (дата начала и окончания контрольного мероприятия);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е) список документов, которые частный партнер обязан представить к дате начала контрольного мероприятия по месту его проведения.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10. Срок контрольного мероприятия составляет не более 14 календарных дней. В исключительных случаях, связанных с необходимостью проведения сложных и (или) длительных исследований, испытаний, специальных экспертиз и расследований, на основании мотивированных предложений должностных лиц, осуществляющих проведение контрольного мероприятия, срок контрольного мероприятия продлевается, но не более чем на 14 календарных дней.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11. Контрольное мероприятие может быть завершено до истечения установленного срока.</w:t>
      </w:r>
    </w:p>
    <w:p w:rsidR="00BB0656" w:rsidRDefault="00BB0656">
      <w:pPr>
        <w:pStyle w:val="ConsPlusNormal"/>
        <w:spacing w:before="220"/>
        <w:ind w:firstLine="540"/>
        <w:jc w:val="both"/>
      </w:pPr>
      <w:bookmarkStart w:id="3" w:name="P60"/>
      <w:bookmarkEnd w:id="3"/>
      <w:r>
        <w:t>12. Реализация соглашения включает в себя следующие стадии:</w:t>
      </w:r>
    </w:p>
    <w:p w:rsidR="00BB0656" w:rsidRDefault="00BB0656">
      <w:pPr>
        <w:pStyle w:val="ConsPlusNormal"/>
        <w:jc w:val="both"/>
      </w:pPr>
      <w:r>
        <w:t xml:space="preserve">(в ред. </w:t>
      </w:r>
      <w:hyperlink r:id="rId9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а) проектирование объекта соглашения (если предусмотрено соглашением);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б) строительство и (или) реконструкция объекта соглашения;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в) эксплуатация и (или) техническое обслуживание объекта соглашения.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13. Для каждой из стадий реализации соглашения, указанных в </w:t>
      </w:r>
      <w:hyperlink w:anchor="P60">
        <w:r>
          <w:rPr>
            <w:color w:val="0000FF"/>
          </w:rPr>
          <w:t>пункте 12</w:t>
        </w:r>
      </w:hyperlink>
      <w:r>
        <w:t xml:space="preserve"> настоящих Правил, предмет осуществления публичным партнером </w:t>
      </w:r>
      <w:proofErr w:type="gramStart"/>
      <w:r>
        <w:t>контроля за</w:t>
      </w:r>
      <w:proofErr w:type="gramEnd"/>
      <w:r>
        <w:t xml:space="preserve"> исполнением соглашения устанавливается соглашением с учетом положений настоящих Правил.</w:t>
      </w:r>
    </w:p>
    <w:p w:rsidR="00BB0656" w:rsidRDefault="00BB0656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0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14. В случае если соглашением предусмотрена стадия проектирования объекта соглашения, на этой стадии </w:t>
      </w:r>
      <w:proofErr w:type="gramStart"/>
      <w:r>
        <w:t>контроль за</w:t>
      </w:r>
      <w:proofErr w:type="gramEnd"/>
      <w:r>
        <w:t xml:space="preserve"> исполнением соглашения осуществляется путем проверки публичным партнером, в частности:</w:t>
      </w:r>
    </w:p>
    <w:p w:rsidR="00BB0656" w:rsidRDefault="00BB0656">
      <w:pPr>
        <w:pStyle w:val="ConsPlusNormal"/>
        <w:jc w:val="both"/>
      </w:pPr>
      <w:r>
        <w:t xml:space="preserve">(в ред. </w:t>
      </w:r>
      <w:hyperlink r:id="rId11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а) соблюдения частным партнером установленных сроков проектирования объекта соглашения;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б) соответствия предоставляемой частным партнером проектной документации положениям соглашения, заданию на проектирование объекта соглашения, а также законодательству Российской Федерации.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15. На стадиях строительства и (или) реконструкции, а также эксплуатации и (или) технического обслуживания объекта соглашения публичный партнер осуществляет </w:t>
      </w:r>
      <w:proofErr w:type="gramStart"/>
      <w:r>
        <w:t>контроль за</w:t>
      </w:r>
      <w:proofErr w:type="gramEnd"/>
      <w:r>
        <w:t xml:space="preserve"> исполнением соглашения, в том числе за соблюдением обязательств частного партнера:</w:t>
      </w:r>
    </w:p>
    <w:p w:rsidR="00BB0656" w:rsidRDefault="00BB0656">
      <w:pPr>
        <w:pStyle w:val="ConsPlusNormal"/>
        <w:jc w:val="both"/>
      </w:pPr>
      <w:r>
        <w:t xml:space="preserve">(в ред. </w:t>
      </w:r>
      <w:hyperlink r:id="rId12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а) по созданию объекта (объектов) соглашения в объеме, предусмотренном соглашением, включая сроки создания объекта соглашения;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б) по обеспечению соответствия технико-экономических показателей создаваемого объекта </w:t>
      </w:r>
      <w:proofErr w:type="gramStart"/>
      <w:r>
        <w:t>соглашения</w:t>
      </w:r>
      <w:proofErr w:type="gramEnd"/>
      <w:r>
        <w:t xml:space="preserve"> предусмотренным соглашением технико-экономическим показателям - на стадии строительства и (или) реконструкции объекта соглашения;</w:t>
      </w:r>
    </w:p>
    <w:p w:rsidR="00BB0656" w:rsidRDefault="00BB0656">
      <w:pPr>
        <w:pStyle w:val="ConsPlusNormal"/>
        <w:jc w:val="both"/>
      </w:pPr>
      <w:r>
        <w:t xml:space="preserve">(в ред. </w:t>
      </w:r>
      <w:hyperlink r:id="rId13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lastRenderedPageBreak/>
        <w:t>в) по осуществлению полного или частичного финансирования строительства и (или) реконструкции объекта соглашения и (либо) эксплуатации и (или) технического обслуживания объекта соглашения;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г) по обеспечению соответствия технико-экономических показателей созданного объекта </w:t>
      </w:r>
      <w:proofErr w:type="gramStart"/>
      <w:r>
        <w:t>соглашения</w:t>
      </w:r>
      <w:proofErr w:type="gramEnd"/>
      <w:r>
        <w:t xml:space="preserve"> предусмотренным соглашением технико-экономическим показателям - на стадии эксплуатации и (или) технического обслуживания объекта соглашения;</w:t>
      </w:r>
    </w:p>
    <w:p w:rsidR="00BB0656" w:rsidRDefault="00BB0656">
      <w:pPr>
        <w:pStyle w:val="ConsPlusNormal"/>
        <w:jc w:val="both"/>
      </w:pPr>
      <w:r>
        <w:t xml:space="preserve">(в ред. </w:t>
      </w:r>
      <w:hyperlink r:id="rId14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д) по эксплуатации и (или) техническому обслуживанию объекта соглашения в соответствии с целями, предусмотренными соглашением;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е) по достижению результатов, предусмотренных соглашением и законодательством Российской Федерации, в том числе значений критериев эффективности проекта и показателей его сравнительного преимущества, на основании которых получено положительное заключение уполномоченного органа;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ж) по передаче объекта соглашения в собственность публичного партнера (если предусмотрено соглашением), в том числе по осуществлению регистрации права собственности публичного партнера на объект соглашения, если соглашением предусмотрено указанное обязательство частного партнера;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з) по целевому использованию земельного участка, лесного участка, водного объекта и участка недр, а также технологически связанного с ними движимого и недвижимого имущества, если такие участки, объекты и имущество предоставлены частному партнеру по соглашению.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16. При проведении контрольных мероприятий </w:t>
      </w:r>
      <w:proofErr w:type="gramStart"/>
      <w:r>
        <w:t>проверяющие</w:t>
      </w:r>
      <w:proofErr w:type="gramEnd"/>
      <w:r>
        <w:t xml:space="preserve"> обязаны: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а) соблюдать сроки проведения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б) обеспечить сохранность и возврат частному партнеру полученных от него подлинников документов;</w:t>
      </w:r>
    </w:p>
    <w:p w:rsidR="00BB0656" w:rsidRDefault="00BB0656">
      <w:pPr>
        <w:pStyle w:val="ConsPlusNormal"/>
        <w:spacing w:before="220"/>
        <w:ind w:firstLine="540"/>
        <w:jc w:val="both"/>
      </w:pPr>
      <w:proofErr w:type="gramStart"/>
      <w:r>
        <w:t>в) соблюдать конфиденциальность сведений, составляющих государственную тайну, а также банковскую, налоговую или коммерческую тайну частного партнера и ставших известными проверяющим в ходе контрольных мероприятий;</w:t>
      </w:r>
      <w:proofErr w:type="gramEnd"/>
    </w:p>
    <w:p w:rsidR="00BB0656" w:rsidRDefault="00BB0656">
      <w:pPr>
        <w:pStyle w:val="ConsPlusNormal"/>
        <w:spacing w:before="220"/>
        <w:ind w:firstLine="540"/>
        <w:jc w:val="both"/>
      </w:pPr>
      <w:r>
        <w:t>г) организовывать и проводить контрольные мероприятия, не вмешиваясь в осуществление хозяйственной деятельности частного партнера;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д) ознакомить частного партнера с результатами контрольных мероприятий.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17. </w:t>
      </w:r>
      <w:proofErr w:type="gramStart"/>
      <w:r>
        <w:t>Проверяющие в пределах своей компетенции вправе:</w:t>
      </w:r>
      <w:proofErr w:type="gramEnd"/>
    </w:p>
    <w:p w:rsidR="00BB0656" w:rsidRDefault="00BB0656">
      <w:pPr>
        <w:pStyle w:val="ConsPlusNormal"/>
        <w:spacing w:before="220"/>
        <w:ind w:firstLine="540"/>
        <w:jc w:val="both"/>
      </w:pPr>
      <w:r>
        <w:t>а) самостоятельно определять методы и последовательность действий при проведении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bookmarkStart w:id="4" w:name="P91"/>
      <w:bookmarkEnd w:id="4"/>
      <w:r>
        <w:t>б) запрашивать выписку из Единого государственного реестра юридических лиц, выданную не ранее чем за 3 месяца до даты проведения контрольных мероприятий, а также документы, подтверждающие осуществление частным партнером капитальных вложений, и иные документы, характеризующие деятельность частного партнера;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в) фиксировать факты противодействия проведению контрольных мероприятий, в том числе предоставления </w:t>
      </w:r>
      <w:proofErr w:type="gramStart"/>
      <w:r>
        <w:t>проверяющим</w:t>
      </w:r>
      <w:proofErr w:type="gramEnd"/>
      <w:r>
        <w:t xml:space="preserve"> недостоверной, неполной информации или ее несвоевременного предоставления, а также несанкционированного доступа к накопленной у проверяющих информации и другие факты;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lastRenderedPageBreak/>
        <w:t>г) осуществлять осмотр объектов недвижимости частного партнера, в том числе строящихся и реконструируемых, осмотр основных фондов организации и приобретенного оборудования (при необходимости с проведением фото-, видеосъемки) с целью получения объективной картины состояния исполнения частным партнером условий соглашения.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18. Частный партнер при проведении контрольных мероприятий обязан: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а) подготовить и представить проверяющим документы, предусмотренные </w:t>
      </w:r>
      <w:hyperlink w:anchor="P91">
        <w:r>
          <w:rPr>
            <w:color w:val="0000FF"/>
          </w:rPr>
          <w:t>подпунктом "б" пункта 17</w:t>
        </w:r>
      </w:hyperlink>
      <w:r>
        <w:t xml:space="preserve"> настоящих Правил, по списку, указанному в уведомлении о проведении контрольного мероприятия;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б) обеспечить </w:t>
      </w:r>
      <w:proofErr w:type="gramStart"/>
      <w:r>
        <w:t>проверяющим</w:t>
      </w:r>
      <w:proofErr w:type="gramEnd"/>
      <w:r>
        <w:t xml:space="preserve"> беспрепятственный доступ на территорию, в здания, служебные и производственные помещения частного партнера.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19. Частный партнер при проведении контрольных мероприятий вправе: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а) присутствовать при проведении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б) давать комментарии и объяснения по вопросам, относящимся к предмету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в) ознакомиться с актом о результатах </w:t>
      </w:r>
      <w:proofErr w:type="gramStart"/>
      <w:r>
        <w:t>контроля за</w:t>
      </w:r>
      <w:proofErr w:type="gramEnd"/>
      <w:r>
        <w:t xml:space="preserve"> исполнением соглашения и давать по нему мотивированные возражения (в случае необходимости) в письменной форме с приложением соответствующих документов;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г) обжаловать действия </w:t>
      </w:r>
      <w:proofErr w:type="gramStart"/>
      <w:r>
        <w:t>проверяющих</w:t>
      </w:r>
      <w:proofErr w:type="gramEnd"/>
      <w:r>
        <w:t xml:space="preserve"> в соответствии с законодательством Российской Федерации.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20. Результаты контрольных мероприятий оформляются не позднее 5 рабочих дней с даты их окончания публичным партнером актом о результатах контроля, который включает в себя: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а) вводную часть, содержащую: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дату, время и место составления акта о результатах контроля;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фамилии, имена, отчества и должности </w:t>
      </w:r>
      <w:proofErr w:type="gramStart"/>
      <w:r>
        <w:t>проверяющих</w:t>
      </w:r>
      <w:proofErr w:type="gramEnd"/>
      <w:r>
        <w:t>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наименование публичного партнера, государственного органа и (или) юридического лица;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наименование проверяемого частного партнера;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срок и место проведения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период проведения контрольных мероприятий;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сведения об ознакомлении или отказе в ознакомлении частного партнера (руководителя) с актом о результатах контроля;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подписи </w:t>
      </w:r>
      <w:proofErr w:type="gramStart"/>
      <w:r>
        <w:t>проверяющих</w:t>
      </w:r>
      <w:proofErr w:type="gramEnd"/>
      <w:r>
        <w:t>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факты устранения (</w:t>
      </w:r>
      <w:proofErr w:type="spellStart"/>
      <w:r>
        <w:t>неустранения</w:t>
      </w:r>
      <w:proofErr w:type="spellEnd"/>
      <w:r>
        <w:t>) нарушений, выявленных предыдущими контрольными мероприятиями;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б) основную часть, содержащую: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описание результатов осмотра объектов соглашения (при необходимости с приложением фото-, видеосъемки в случае проведения такого осмотра);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lastRenderedPageBreak/>
        <w:t>факты несоблюдения условий соглашения (при выявлении);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иные обстоятельства, которые предусмотрены Федеральным </w:t>
      </w:r>
      <w:hyperlink r:id="rId15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и могут послужить основанием для направления публичным партнером заявления в суд о расторжении соглашения;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в) резолютивную часть, содержащую изложение фактических результатов проведения контрольных мероприятий, а в случае выявленных нарушений - ссылку на документы, подтверждающие отраженные в акте о результатах </w:t>
      </w:r>
      <w:proofErr w:type="gramStart"/>
      <w:r>
        <w:t>контроля за</w:t>
      </w:r>
      <w:proofErr w:type="gramEnd"/>
      <w:r>
        <w:t xml:space="preserve"> исполнением соглашения нарушения, перечень мер по устранению нарушений частным партнером условий соглашения, а также причин нарушения частным партнером условий соглашения.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21. К акту о результатах </w:t>
      </w:r>
      <w:proofErr w:type="gramStart"/>
      <w:r>
        <w:t>контроля за</w:t>
      </w:r>
      <w:proofErr w:type="gramEnd"/>
      <w:r>
        <w:t xml:space="preserve"> исполнением соглашения прилагаются справки, объяснения, документы или их копии, имеющие отношение к проводимым контрольным мероприятиям, в том числе подтверждающие факты нарушений в случаях их выявления.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22. Акты о результатах </w:t>
      </w:r>
      <w:proofErr w:type="gramStart"/>
      <w:r>
        <w:t>контроля за</w:t>
      </w:r>
      <w:proofErr w:type="gramEnd"/>
      <w:r>
        <w:t xml:space="preserve"> исполнением соглашения, содержащие сведения, составляющие государственную тайну, оформляются с соблюдением положений, предусмотренных законодательством Российской Федерации о защите государственной тайны.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23. Акт о результатах </w:t>
      </w:r>
      <w:proofErr w:type="gramStart"/>
      <w:r>
        <w:t>контроля за</w:t>
      </w:r>
      <w:proofErr w:type="gramEnd"/>
      <w:r>
        <w:t xml:space="preserve"> исполнением соглашения составляется в 2 экземплярах и подписывается всеми проверяющими. Первый экземпляр акта о результатах </w:t>
      </w:r>
      <w:proofErr w:type="gramStart"/>
      <w:r>
        <w:t>контроля за</w:t>
      </w:r>
      <w:proofErr w:type="gramEnd"/>
      <w:r>
        <w:t xml:space="preserve"> исполнением соглашения вручается частному партнеру под расписку, второй экземпляр этого акта остается у публичного партнера.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24. Если указанным способом вручение акта о результатах </w:t>
      </w:r>
      <w:proofErr w:type="gramStart"/>
      <w:r>
        <w:t>контроля за</w:t>
      </w:r>
      <w:proofErr w:type="gramEnd"/>
      <w:r>
        <w:t xml:space="preserve"> исполнением соглашения невозможно, акт о результатах контроля за исполнением соглашения направляется частному партнеру по почте заказным письмом, которое приобщается к экземпляру указанного акта, остающегося у публичного партнера.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 xml:space="preserve">25. В случае если в результате проведения контрольных мероприятий выявлен факт неисполнения частным партнером условий соглашения, публичный партнер в течение 5 рабочих дней со дня истечения срока, предоставленного частному партнеру для обжалования результатов </w:t>
      </w:r>
      <w:proofErr w:type="gramStart"/>
      <w:r>
        <w:t>контроля за</w:t>
      </w:r>
      <w:proofErr w:type="gramEnd"/>
      <w:r>
        <w:t xml:space="preserve"> исполнением соглашения, направляет частному партнеру уведомление об устранении выявленных нарушений с указанием сроков их устранения.</w:t>
      </w:r>
    </w:p>
    <w:p w:rsidR="00BB0656" w:rsidRDefault="00BB0656">
      <w:pPr>
        <w:pStyle w:val="ConsPlusNormal"/>
        <w:spacing w:before="220"/>
        <w:ind w:firstLine="540"/>
        <w:jc w:val="both"/>
      </w:pPr>
      <w:r>
        <w:t>26. По истечении срока, указанного в уведомлении об устранении выявленных нарушений, публичный партнер проводит в соответствии с настоящими Правилами контрольные мероприятия на предмет устранения частным партнером ранее выявленных нарушений условий соглашения. В случае если частным партнером в указанные в таком уведомлении сроки не устранены нарушения, публичный партнер вправе применить к частному партнеру меры ответственности, предусмотренные соглашением.</w:t>
      </w:r>
    </w:p>
    <w:p w:rsidR="00BB0656" w:rsidRDefault="00BB0656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6">
        <w:r>
          <w:rPr>
            <w:color w:val="0000FF"/>
          </w:rPr>
          <w:t>Постановления</w:t>
        </w:r>
      </w:hyperlink>
      <w:r>
        <w:t xml:space="preserve"> Правительства РФ от 24.11.2022 N 2139)</w:t>
      </w: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jc w:val="both"/>
      </w:pPr>
    </w:p>
    <w:p w:rsidR="00BB0656" w:rsidRDefault="00BB0656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F185A" w:rsidRDefault="00BF185A"/>
    <w:sectPr w:rsidR="00BF185A" w:rsidSect="009E7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56"/>
    <w:rsid w:val="00BB0656"/>
    <w:rsid w:val="00B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0656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BB0656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BB0656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0656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BB0656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BB0656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32396&amp;dst=100082" TargetMode="External"/><Relationship Id="rId13" Type="http://schemas.openxmlformats.org/officeDocument/2006/relationships/hyperlink" Target="https://login.consultant.ru/link/?req=doc&amp;base=LAW&amp;n=432396&amp;dst=10008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32396&amp;dst=100008" TargetMode="External"/><Relationship Id="rId12" Type="http://schemas.openxmlformats.org/officeDocument/2006/relationships/hyperlink" Target="https://login.consultant.ru/link/?req=doc&amp;base=LAW&amp;n=432396&amp;dst=100087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432396&amp;dst=100089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51874&amp;dst=100263" TargetMode="External"/><Relationship Id="rId11" Type="http://schemas.openxmlformats.org/officeDocument/2006/relationships/hyperlink" Target="https://login.consultant.ru/link/?req=doc&amp;base=LAW&amp;n=432396&amp;dst=100085" TargetMode="External"/><Relationship Id="rId5" Type="http://schemas.openxmlformats.org/officeDocument/2006/relationships/hyperlink" Target="https://login.consultant.ru/link/?req=doc&amp;base=LAW&amp;n=432396&amp;dst=100008" TargetMode="External"/><Relationship Id="rId15" Type="http://schemas.openxmlformats.org/officeDocument/2006/relationships/hyperlink" Target="https://login.consultant.ru/link/?req=doc&amp;base=LAW&amp;n=451874" TargetMode="External"/><Relationship Id="rId10" Type="http://schemas.openxmlformats.org/officeDocument/2006/relationships/hyperlink" Target="https://login.consultant.ru/link/?req=doc&amp;base=LAW&amp;n=432396&amp;dst=100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32396&amp;dst=100083" TargetMode="External"/><Relationship Id="rId14" Type="http://schemas.openxmlformats.org/officeDocument/2006/relationships/hyperlink" Target="https://login.consultant.ru/link/?req=doc&amp;base=LAW&amp;n=432396&amp;dst=1000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1</cp:revision>
  <dcterms:created xsi:type="dcterms:W3CDTF">2024-01-19T13:50:00Z</dcterms:created>
  <dcterms:modified xsi:type="dcterms:W3CDTF">2024-01-19T13:51:00Z</dcterms:modified>
</cp:coreProperties>
</file>