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1D1" w:rsidRDefault="00D501D1">
      <w:pPr>
        <w:pStyle w:val="ConsPlusTitlePage"/>
      </w:pPr>
      <w:bookmarkStart w:id="0" w:name="_GoBack"/>
      <w:bookmarkEnd w:id="0"/>
      <w:r>
        <w:br/>
      </w:r>
    </w:p>
    <w:p w:rsidR="00D501D1" w:rsidRDefault="00D501D1">
      <w:pPr>
        <w:pStyle w:val="ConsPlusNormal"/>
        <w:jc w:val="both"/>
        <w:outlineLvl w:val="0"/>
      </w:pPr>
    </w:p>
    <w:p w:rsidR="00D501D1" w:rsidRDefault="00D501D1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D501D1" w:rsidRDefault="00D501D1">
      <w:pPr>
        <w:pStyle w:val="ConsPlusTitle"/>
        <w:jc w:val="center"/>
      </w:pPr>
    </w:p>
    <w:p w:rsidR="00D501D1" w:rsidRDefault="00D501D1">
      <w:pPr>
        <w:pStyle w:val="ConsPlusTitle"/>
        <w:jc w:val="center"/>
      </w:pPr>
      <w:r>
        <w:t>ПОСТАНОВЛЕНИЕ</w:t>
      </w:r>
    </w:p>
    <w:p w:rsidR="00D501D1" w:rsidRDefault="00D501D1">
      <w:pPr>
        <w:pStyle w:val="ConsPlusTitle"/>
        <w:jc w:val="center"/>
      </w:pPr>
      <w:r>
        <w:t>от 4 декабря 2015 г. N 1322</w:t>
      </w:r>
    </w:p>
    <w:p w:rsidR="00D501D1" w:rsidRDefault="00D501D1">
      <w:pPr>
        <w:pStyle w:val="ConsPlusTitle"/>
        <w:jc w:val="center"/>
      </w:pPr>
    </w:p>
    <w:p w:rsidR="00D501D1" w:rsidRDefault="00D501D1">
      <w:pPr>
        <w:pStyle w:val="ConsPlusTitle"/>
        <w:jc w:val="center"/>
      </w:pPr>
      <w:r>
        <w:t>ОБ УТВЕРЖДЕНИИ ПРАВИЛ</w:t>
      </w:r>
    </w:p>
    <w:p w:rsidR="00D501D1" w:rsidRDefault="00D501D1">
      <w:pPr>
        <w:pStyle w:val="ConsPlusTitle"/>
        <w:jc w:val="center"/>
      </w:pPr>
      <w:r>
        <w:t>ПРОВЕДЕНИЯ ПРЕДВАРИТЕЛЬНОГО ОТБОРА УЧАСТНИКОВ КОНКУРСА</w:t>
      </w:r>
    </w:p>
    <w:p w:rsidR="00D501D1" w:rsidRDefault="00D501D1">
      <w:pPr>
        <w:pStyle w:val="ConsPlusTitle"/>
        <w:jc w:val="center"/>
      </w:pPr>
      <w:r>
        <w:t>НА ПРАВО ЗАКЛЮЧЕНИЯ СОГЛАШЕНИЯ О ГОСУДАРСТВЕННО-ЧАСТНОМ</w:t>
      </w:r>
    </w:p>
    <w:p w:rsidR="00D501D1" w:rsidRDefault="00D501D1">
      <w:pPr>
        <w:pStyle w:val="ConsPlusTitle"/>
        <w:jc w:val="center"/>
      </w:pPr>
      <w:r>
        <w:t>ПАРТНЕРСТВЕ, СОГЛАШЕНИЯ О МУНИЦИПАЛЬНО-ЧАСТНОМ ПАРТНЕРСТВЕ</w:t>
      </w:r>
    </w:p>
    <w:p w:rsidR="00D501D1" w:rsidRDefault="00D501D1">
      <w:pPr>
        <w:pStyle w:val="ConsPlusNormal"/>
        <w:jc w:val="both"/>
      </w:pPr>
    </w:p>
    <w:p w:rsidR="00D501D1" w:rsidRDefault="00D501D1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 xml:space="preserve">1. Утвердить прилагаемые </w:t>
      </w:r>
      <w:hyperlink w:anchor="P28" w:history="1">
        <w:r>
          <w:rPr>
            <w:color w:val="0000FF"/>
          </w:rPr>
          <w:t>Правила</w:t>
        </w:r>
      </w:hyperlink>
      <w:r>
        <w:t xml:space="preserve"> проведения предварительного отбора участников конкурса на право заключения соглашения о государственно-частном партнерстве, соглашения о муниципально-частном партнерстве.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>2. Настоящее постановление вступает в силу с 1 января 2016 г.</w:t>
      </w:r>
    </w:p>
    <w:p w:rsidR="00D501D1" w:rsidRDefault="00D501D1">
      <w:pPr>
        <w:pStyle w:val="ConsPlusNormal"/>
        <w:jc w:val="both"/>
      </w:pPr>
    </w:p>
    <w:p w:rsidR="00D501D1" w:rsidRDefault="00D501D1">
      <w:pPr>
        <w:pStyle w:val="ConsPlusNormal"/>
        <w:jc w:val="right"/>
      </w:pPr>
      <w:r>
        <w:t>Председатель Правительства</w:t>
      </w:r>
    </w:p>
    <w:p w:rsidR="00D501D1" w:rsidRDefault="00D501D1">
      <w:pPr>
        <w:pStyle w:val="ConsPlusNormal"/>
        <w:jc w:val="right"/>
      </w:pPr>
      <w:r>
        <w:t>Российской Федерации</w:t>
      </w:r>
    </w:p>
    <w:p w:rsidR="00D501D1" w:rsidRDefault="00D501D1">
      <w:pPr>
        <w:pStyle w:val="ConsPlusNormal"/>
        <w:jc w:val="right"/>
      </w:pPr>
      <w:r>
        <w:t>Д.МЕДВЕДЕВ</w:t>
      </w:r>
    </w:p>
    <w:p w:rsidR="00D501D1" w:rsidRDefault="00D501D1">
      <w:pPr>
        <w:pStyle w:val="ConsPlusNormal"/>
        <w:jc w:val="both"/>
      </w:pPr>
    </w:p>
    <w:p w:rsidR="00D501D1" w:rsidRDefault="00D501D1">
      <w:pPr>
        <w:pStyle w:val="ConsPlusNormal"/>
        <w:jc w:val="both"/>
      </w:pPr>
    </w:p>
    <w:p w:rsidR="00D501D1" w:rsidRDefault="00D501D1">
      <w:pPr>
        <w:pStyle w:val="ConsPlusNormal"/>
        <w:jc w:val="both"/>
      </w:pPr>
    </w:p>
    <w:p w:rsidR="00D501D1" w:rsidRDefault="00D501D1">
      <w:pPr>
        <w:pStyle w:val="ConsPlusNormal"/>
        <w:jc w:val="both"/>
      </w:pPr>
    </w:p>
    <w:p w:rsidR="00D501D1" w:rsidRDefault="00D501D1">
      <w:pPr>
        <w:pStyle w:val="ConsPlusNormal"/>
        <w:jc w:val="both"/>
      </w:pPr>
    </w:p>
    <w:p w:rsidR="00D501D1" w:rsidRDefault="00D501D1">
      <w:pPr>
        <w:pStyle w:val="ConsPlusNormal"/>
        <w:jc w:val="right"/>
        <w:outlineLvl w:val="0"/>
      </w:pPr>
      <w:r>
        <w:t>Утверждены</w:t>
      </w:r>
    </w:p>
    <w:p w:rsidR="00D501D1" w:rsidRDefault="00D501D1">
      <w:pPr>
        <w:pStyle w:val="ConsPlusNormal"/>
        <w:jc w:val="right"/>
      </w:pPr>
      <w:r>
        <w:t>постановлением Правительства</w:t>
      </w:r>
    </w:p>
    <w:p w:rsidR="00D501D1" w:rsidRDefault="00D501D1">
      <w:pPr>
        <w:pStyle w:val="ConsPlusNormal"/>
        <w:jc w:val="right"/>
      </w:pPr>
      <w:r>
        <w:t>Российской Федерации</w:t>
      </w:r>
    </w:p>
    <w:p w:rsidR="00D501D1" w:rsidRDefault="00D501D1">
      <w:pPr>
        <w:pStyle w:val="ConsPlusNormal"/>
        <w:jc w:val="right"/>
      </w:pPr>
      <w:r>
        <w:t>от 4 декабря 2015 г. N 1322</w:t>
      </w:r>
    </w:p>
    <w:p w:rsidR="00D501D1" w:rsidRDefault="00D501D1">
      <w:pPr>
        <w:pStyle w:val="ConsPlusNormal"/>
        <w:jc w:val="both"/>
      </w:pPr>
    </w:p>
    <w:p w:rsidR="00D501D1" w:rsidRDefault="00D501D1">
      <w:pPr>
        <w:pStyle w:val="ConsPlusTitle"/>
        <w:jc w:val="center"/>
      </w:pPr>
      <w:bookmarkStart w:id="1" w:name="P28"/>
      <w:bookmarkEnd w:id="1"/>
      <w:r>
        <w:t>ПРАВИЛА</w:t>
      </w:r>
    </w:p>
    <w:p w:rsidR="00D501D1" w:rsidRDefault="00D501D1">
      <w:pPr>
        <w:pStyle w:val="ConsPlusTitle"/>
        <w:jc w:val="center"/>
      </w:pPr>
      <w:r>
        <w:t>ПРОВЕДЕНИЯ ПРЕДВАРИТЕЛЬНОГО ОТБОРА УЧАСТНИКОВ КОНКУРСА</w:t>
      </w:r>
    </w:p>
    <w:p w:rsidR="00D501D1" w:rsidRDefault="00D501D1">
      <w:pPr>
        <w:pStyle w:val="ConsPlusTitle"/>
        <w:jc w:val="center"/>
      </w:pPr>
      <w:r>
        <w:t>НА ПРАВО ЗАКЛЮЧЕНИЯ СОГЛАШЕНИЯ О ГОСУДАРСТВЕННО-ЧАСТНОМ</w:t>
      </w:r>
    </w:p>
    <w:p w:rsidR="00D501D1" w:rsidRDefault="00D501D1">
      <w:pPr>
        <w:pStyle w:val="ConsPlusTitle"/>
        <w:jc w:val="center"/>
      </w:pPr>
      <w:r>
        <w:t>ПАРТНЕРСТВЕ, СОГЛАШЕНИЯ О МУНИЦИПАЛЬНО-ЧАСТНОМ ПАРТНЕРСТВЕ</w:t>
      </w:r>
    </w:p>
    <w:p w:rsidR="00D501D1" w:rsidRDefault="00D501D1">
      <w:pPr>
        <w:pStyle w:val="ConsPlusNormal"/>
        <w:jc w:val="both"/>
      </w:pPr>
    </w:p>
    <w:p w:rsidR="00D501D1" w:rsidRDefault="00D501D1">
      <w:pPr>
        <w:pStyle w:val="ConsPlusNormal"/>
        <w:jc w:val="center"/>
        <w:outlineLvl w:val="1"/>
      </w:pPr>
      <w:r>
        <w:t>I. Общие положения</w:t>
      </w:r>
    </w:p>
    <w:p w:rsidR="00D501D1" w:rsidRDefault="00D501D1">
      <w:pPr>
        <w:pStyle w:val="ConsPlusNormal"/>
        <w:jc w:val="both"/>
      </w:pPr>
    </w:p>
    <w:p w:rsidR="00D501D1" w:rsidRDefault="00D501D1">
      <w:pPr>
        <w:pStyle w:val="ConsPlusNormal"/>
        <w:ind w:firstLine="540"/>
        <w:jc w:val="both"/>
      </w:pPr>
      <w:r>
        <w:t xml:space="preserve">1. Настоящие Правила определяют основы правового регулирования отношений, возникающих в связи с организацией и проведением конкурсной комиссией предварительного отбора участников конкурса на право заключения соглашения о государственно-частном партнерстве, соглашения о муниципально-частном партнерстве, предусмотренного Федеральным </w:t>
      </w:r>
      <w:hyperlink r:id="rId5" w:history="1">
        <w:r>
          <w:rPr>
            <w:color w:val="0000FF"/>
          </w:rPr>
          <w:t>законом</w:t>
        </w:r>
      </w:hyperlink>
      <w:r>
        <w:t xml:space="preserve"> "О государственно-частном партнерстве, муниципально-частном партнерстве в Российской Федерации и внесении изменений в отдельные законодательные акты Российской Федерации" (далее соответственно - конкурс, Федеральный закон).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 xml:space="preserve">2. Целью предварительного отбора участников конкурса является определение состава участников, соответствующих требованиям, установленным Федеральным </w:t>
      </w:r>
      <w:hyperlink r:id="rId6" w:history="1">
        <w:r>
          <w:rPr>
            <w:color w:val="0000FF"/>
          </w:rPr>
          <w:t>законом</w:t>
        </w:r>
      </w:hyperlink>
      <w:r>
        <w:t>, а также конкурсной документацией.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 xml:space="preserve">3. Предварительный отбор участников конкурса проводится в случае, если проведение предварительного отбора участников конкурса предусмотрено решением о реализации проекта </w:t>
      </w:r>
      <w:r>
        <w:lastRenderedPageBreak/>
        <w:t>государственно-частного партнерства, проекта муниципально-частного партнерства.</w:t>
      </w:r>
    </w:p>
    <w:p w:rsidR="00D501D1" w:rsidRDefault="00D501D1">
      <w:pPr>
        <w:pStyle w:val="ConsPlusNormal"/>
        <w:jc w:val="both"/>
      </w:pPr>
    </w:p>
    <w:p w:rsidR="00D501D1" w:rsidRDefault="00D501D1">
      <w:pPr>
        <w:pStyle w:val="ConsPlusNormal"/>
        <w:jc w:val="center"/>
        <w:outlineLvl w:val="1"/>
      </w:pPr>
      <w:r>
        <w:t>II. Процедура проведения предварительного отбора</w:t>
      </w:r>
    </w:p>
    <w:p w:rsidR="00D501D1" w:rsidRDefault="00D501D1">
      <w:pPr>
        <w:pStyle w:val="ConsPlusNormal"/>
        <w:jc w:val="center"/>
      </w:pPr>
      <w:r>
        <w:t>участников конкурса</w:t>
      </w:r>
    </w:p>
    <w:p w:rsidR="00D501D1" w:rsidRDefault="00D501D1">
      <w:pPr>
        <w:pStyle w:val="ConsPlusNormal"/>
        <w:jc w:val="both"/>
      </w:pPr>
    </w:p>
    <w:p w:rsidR="00D501D1" w:rsidRDefault="00D501D1">
      <w:pPr>
        <w:pStyle w:val="ConsPlusNormal"/>
        <w:ind w:firstLine="540"/>
        <w:jc w:val="both"/>
      </w:pPr>
      <w:r>
        <w:t xml:space="preserve">4. Предварительный отбор участников конкурса проводится конкурсной комиссией в установленном конкурсной документацией порядке, определенном публичным партнером по согласованию с уполномоченным органом в соответствии с </w:t>
      </w:r>
      <w:hyperlink r:id="rId7" w:history="1">
        <w:r>
          <w:rPr>
            <w:color w:val="0000FF"/>
          </w:rPr>
          <w:t>частью 7 статьи 19</w:t>
        </w:r>
      </w:hyperlink>
      <w:r>
        <w:t xml:space="preserve"> Федерального закона.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>5. Срок проведения предварительного отбора участников конкурса устанавливается конкурсной документацией.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>6. Предметом рассмотрения конкурсной комиссией заявок на участие в конкурсе (далее - заявка) при проведении предварительного отбора являются: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>а) соответствие заявки требованиям, содержащимся в конкурсной документации;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 xml:space="preserve">б) соответствие заявителя требованиям, предъявляемым к частному партнеру в соответствии с Федеральным </w:t>
      </w:r>
      <w:hyperlink r:id="rId8" w:history="1">
        <w:r>
          <w:rPr>
            <w:color w:val="0000FF"/>
          </w:rPr>
          <w:t>законом</w:t>
        </w:r>
      </w:hyperlink>
      <w:r>
        <w:t>;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>в) соответствие заявителя требованиям, предъявляемым к участникам конкурса;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>г) полнота и достоверность представленных заявителем документов и материалов;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>д) поступление задатка заявителя на счет в срок и в размере, которые установлены конкурсной документацией, при условии, что конкурсной документацией предусмотрено внесение задатка до даты окончания представления заявок.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>7. Конкурсная комиссия вправе потребовать от заявителя разъяснений, касающихся представленных им заявки, документов и материалов, подтверждающих соответствие заявителя требованиям, предъявляемым к участникам конкурса.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>8. Запрос конкурсной комиссии к заявителю о представлении разъяснений (далее - запрос), касающихся заявки, документов и материалов, направляется почтовым отправлением либо в электронной форме в виде электронного документа соответственно по адресу места нахождения заявителя или его электронному адресу, которые указаны в заявке. Запрос должен содержать перечень вопросов и сроки представления заявителем указанных разъяснений, а также адрес места нахождения конкурсной комиссии.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>9. Заявитель представляет письменные разъяснения, касающиеся заявки, документов и материалов, в сроки и по адресу, которые указаны в запросе.</w:t>
      </w:r>
    </w:p>
    <w:p w:rsidR="00D501D1" w:rsidRDefault="00D501D1">
      <w:pPr>
        <w:pStyle w:val="ConsPlusNormal"/>
        <w:jc w:val="both"/>
      </w:pPr>
    </w:p>
    <w:p w:rsidR="00D501D1" w:rsidRDefault="00D501D1">
      <w:pPr>
        <w:pStyle w:val="ConsPlusNormal"/>
        <w:jc w:val="center"/>
        <w:outlineLvl w:val="1"/>
      </w:pPr>
      <w:r>
        <w:t>III. Результаты проведения предварительного отбора</w:t>
      </w:r>
    </w:p>
    <w:p w:rsidR="00D501D1" w:rsidRDefault="00D501D1">
      <w:pPr>
        <w:pStyle w:val="ConsPlusNormal"/>
        <w:jc w:val="center"/>
      </w:pPr>
      <w:r>
        <w:t>участников конкурса</w:t>
      </w:r>
    </w:p>
    <w:p w:rsidR="00D501D1" w:rsidRDefault="00D501D1">
      <w:pPr>
        <w:pStyle w:val="ConsPlusNormal"/>
        <w:jc w:val="both"/>
      </w:pPr>
    </w:p>
    <w:p w:rsidR="00D501D1" w:rsidRDefault="00D501D1">
      <w:pPr>
        <w:pStyle w:val="ConsPlusNormal"/>
        <w:ind w:firstLine="540"/>
        <w:jc w:val="both"/>
      </w:pPr>
      <w:r>
        <w:t>10. Конкурсная комиссия на основании результатов проведения предварительного отбора участников конкурса принимает решение о допуске заявителя к участию в конкурсе или об отказе в допуске заявителя к участию в конкурсе и оформляет это решение протоколом проведения предварительного отбора участников конкурса, включающим наименование заявителя, прошедшего предварительный отбор участников конкурса и допущенного к участию в конкурсе, и наименование заявителя, не прошедшего предварительный отбор участников конкурса и не допущенного к участию в конкурсе, с обоснованием принятых конкурсной комиссией решений по каждому заявлению.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 xml:space="preserve">11. Дата подписания протокола о проведении предварительного отбора участников </w:t>
      </w:r>
      <w:r>
        <w:lastRenderedPageBreak/>
        <w:t>конкурса устанавливается в конкурсной документации.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>12. Решение об отказе в допуске заявителя к участию в конкурсе принимается конкурсной комиссией в случае, если: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>а) заявитель не соответствует требованиям, предъявляемым к участникам конкурса;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>б) заявка не соответствует требованиям, предъявляемым к заявкам и установленным конкурсной документацией;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>в) документы и материалы, представленные заявителем, неполные и (или) недостоверные;</w:t>
      </w:r>
    </w:p>
    <w:p w:rsidR="00D501D1" w:rsidRDefault="00D501D1">
      <w:pPr>
        <w:pStyle w:val="ConsPlusNormal"/>
        <w:spacing w:before="220"/>
        <w:ind w:firstLine="540"/>
        <w:jc w:val="both"/>
      </w:pPr>
      <w:r>
        <w:t>г) задаток заявителя не поступил на счет в срок и в размере, которые установлены конкурсной документацией, при условии, что конкурсной документацией предусмотрено внесение задатка до даты окончания представления заявок на участие в конкурсе.</w:t>
      </w:r>
    </w:p>
    <w:p w:rsidR="00D501D1" w:rsidRDefault="00D501D1">
      <w:pPr>
        <w:pStyle w:val="ConsPlusNormal"/>
        <w:jc w:val="both"/>
      </w:pPr>
    </w:p>
    <w:p w:rsidR="00D501D1" w:rsidRDefault="00D501D1">
      <w:pPr>
        <w:pStyle w:val="ConsPlusNormal"/>
        <w:jc w:val="both"/>
      </w:pPr>
    </w:p>
    <w:p w:rsidR="00D501D1" w:rsidRDefault="00D501D1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F7E6D" w:rsidRDefault="00AF7E6D"/>
    <w:sectPr w:rsidR="00AF7E6D" w:rsidSect="00284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1D1"/>
    <w:rsid w:val="00626807"/>
    <w:rsid w:val="00AF7E6D"/>
    <w:rsid w:val="00D5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501D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D501D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D501D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501D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D501D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D501D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F382FF8575369AE0FD6A51E9E302A3D40E233B70008A6496CD5B05DD1DE15226F9A846018BF4D602977561EE4841587F0C000618A20D2A6h4m2N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F382FF8575369AE0FD6A51E9E302A3D40E233B70008A6496CD5B05DD1DE15226F9A846018BF4E602C77561EE4841587F0C000618A20D2A6h4m2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8F382FF8575369AE0FD6A51E9E302A3D40E233B70008A6496CD5B05DD1DE15227D9ADC6C1ABA53642862004FA2hDm0N" TargetMode="External"/><Relationship Id="rId5" Type="http://schemas.openxmlformats.org/officeDocument/2006/relationships/hyperlink" Target="consultantplus://offline/ref=8F382FF8575369AE0FD6A51E9E302A3D40E233B70008A6496CD5B05DD1DE15226F9A846018BF49672E77561EE4841587F0C000618A20D2A6h4m2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Минэк</cp:lastModifiedBy>
  <cp:revision>2</cp:revision>
  <dcterms:created xsi:type="dcterms:W3CDTF">2021-01-25T13:38:00Z</dcterms:created>
  <dcterms:modified xsi:type="dcterms:W3CDTF">2021-01-26T06:01:00Z</dcterms:modified>
</cp:coreProperties>
</file>