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4BE" w:rsidRDefault="00A51E7D">
      <w:r w:rsidRPr="00A51E7D">
        <w:t>https://economykchr.ru/investitsii/321-otsenka-effektivnosti-proektov-gchp</w:t>
      </w:r>
      <w:bookmarkStart w:id="0" w:name="_GoBack"/>
      <w:bookmarkEnd w:id="0"/>
    </w:p>
    <w:sectPr w:rsidR="00BA1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E7D"/>
    <w:rsid w:val="00A51E7D"/>
    <w:rsid w:val="00BA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Машукова</dc:creator>
  <cp:lastModifiedBy>Машукова</cp:lastModifiedBy>
  <cp:revision>1</cp:revision>
  <dcterms:created xsi:type="dcterms:W3CDTF">2024-01-18T13:10:00Z</dcterms:created>
  <dcterms:modified xsi:type="dcterms:W3CDTF">2024-01-18T13:11:00Z</dcterms:modified>
</cp:coreProperties>
</file>