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35" w:rsidRDefault="005B6435">
      <w:pPr>
        <w:pStyle w:val="ConsPlusNormal"/>
        <w:outlineLvl w:val="0"/>
      </w:pPr>
      <w:bookmarkStart w:id="0" w:name="_GoBack"/>
      <w:bookmarkEnd w:id="0"/>
      <w:r>
        <w:t>Зарегистрировано в Минюсте России 01 апреля 2021 г. N 62958</w:t>
      </w:r>
    </w:p>
    <w:p w:rsidR="005B6435" w:rsidRDefault="005B6435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Title"/>
        <w:jc w:val="center"/>
      </w:pPr>
      <w:r>
        <w:t>МИНИСТЕРСТВО ЭКОНОМИЧЕСКОГО РАЗВИТИЯ РОССИЙСКОЙ ФЕДЕРАЦИИ</w:t>
      </w:r>
    </w:p>
    <w:p w:rsidR="005B6435" w:rsidRDefault="005B6435">
      <w:pPr>
        <w:pStyle w:val="ConsPlusTitle"/>
        <w:jc w:val="center"/>
      </w:pPr>
    </w:p>
    <w:p w:rsidR="005B6435" w:rsidRDefault="005B6435">
      <w:pPr>
        <w:pStyle w:val="ConsPlusTitle"/>
        <w:jc w:val="center"/>
      </w:pPr>
      <w:r>
        <w:t>ПРИКАЗ</w:t>
      </w:r>
    </w:p>
    <w:p w:rsidR="005B6435" w:rsidRDefault="005B6435">
      <w:pPr>
        <w:pStyle w:val="ConsPlusTitle"/>
        <w:jc w:val="center"/>
      </w:pPr>
      <w:r>
        <w:t>от 2 февраля 2021 г. N 40</w:t>
      </w:r>
    </w:p>
    <w:p w:rsidR="005B6435" w:rsidRDefault="005B6435">
      <w:pPr>
        <w:pStyle w:val="ConsPlusTitle"/>
        <w:jc w:val="center"/>
      </w:pPr>
    </w:p>
    <w:p w:rsidR="005B6435" w:rsidRDefault="005B6435">
      <w:pPr>
        <w:pStyle w:val="ConsPlusTitle"/>
        <w:jc w:val="center"/>
      </w:pPr>
      <w:r>
        <w:t>ОБ УТВЕРЖДЕНИИ ПОРЯДКА</w:t>
      </w:r>
    </w:p>
    <w:p w:rsidR="005B6435" w:rsidRDefault="005B6435">
      <w:pPr>
        <w:pStyle w:val="ConsPlusTitle"/>
        <w:jc w:val="center"/>
      </w:pPr>
      <w:r>
        <w:t xml:space="preserve">МОНИТОРИНГА РЕАЛИЗАЦИИ СОГЛАШЕНИЙ О </w:t>
      </w:r>
      <w:proofErr w:type="gramStart"/>
      <w:r>
        <w:t>ГОСУДАРСТВЕННО-ЧАСТНОМ</w:t>
      </w:r>
      <w:proofErr w:type="gramEnd"/>
    </w:p>
    <w:p w:rsidR="005B6435" w:rsidRDefault="005B6435">
      <w:pPr>
        <w:pStyle w:val="ConsPlusTitle"/>
        <w:jc w:val="center"/>
      </w:pPr>
      <w:proofErr w:type="gramStart"/>
      <w:r>
        <w:t>ПАРТНЕРСТВЕ</w:t>
      </w:r>
      <w:proofErr w:type="gramEnd"/>
      <w:r>
        <w:t>, СОГЛАШЕНИЙ О МУНИЦИПАЛЬНО-ЧАСТНОМ ПАРТНЕРСТВЕ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ind w:firstLine="540"/>
        <w:jc w:val="both"/>
      </w:pPr>
      <w:proofErr w:type="gramStart"/>
      <w:r>
        <w:t xml:space="preserve">В соответствии с </w:t>
      </w:r>
      <w:hyperlink r:id="rId5">
        <w:r>
          <w:rPr>
            <w:color w:val="0000FF"/>
          </w:rPr>
          <w:t>пунктом 2 части 2 статьи 16</w:t>
        </w:r>
      </w:hyperlink>
      <w:r>
        <w:t xml:space="preserve"> Федерального закона от 13 июля 2015 г. N 224-ФЗ "О государственно-частном партнерстве, </w:t>
      </w:r>
      <w:proofErr w:type="spellStart"/>
      <w:r>
        <w:t>муниципально</w:t>
      </w:r>
      <w:proofErr w:type="spellEnd"/>
      <w:r>
        <w:t xml:space="preserve">-частном партнерстве в Российской Федерации и внесении изменений в отдельные законодательные акты Российской Федерации" (Собрание законодательства Российской Федерации, 2015, N 29, ст. 4350), </w:t>
      </w:r>
      <w:hyperlink r:id="rId6">
        <w:r>
          <w:rPr>
            <w:color w:val="0000FF"/>
          </w:rPr>
          <w:t>пунктом 1</w:t>
        </w:r>
      </w:hyperlink>
      <w:r>
        <w:t xml:space="preserve"> и </w:t>
      </w:r>
      <w:hyperlink r:id="rId7">
        <w:r>
          <w:rPr>
            <w:color w:val="0000FF"/>
          </w:rPr>
          <w:t>подпунктом 5.2.28(190) пункта 5</w:t>
        </w:r>
      </w:hyperlink>
      <w:r>
        <w:t xml:space="preserve"> Положения о Министерстве экономического развития Российской Федерации, утвержденного</w:t>
      </w:r>
      <w:proofErr w:type="gramEnd"/>
      <w:r>
        <w:t xml:space="preserve"> постановлением Правительства Российской Федерации от 5 июня 2008 г. N 437 (Собрание законодательства Российской Федерации, 2008, N 24, ст. 2867; официальный интернет-портал правовой информации (www.pravo.gov.ru), 2021, 16 февраля, N 0001202102160023), приказываю: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1. Утвердить прилагаемый </w:t>
      </w:r>
      <w:hyperlink w:anchor="P31">
        <w:r>
          <w:rPr>
            <w:color w:val="0000FF"/>
          </w:rPr>
          <w:t>Порядок</w:t>
        </w:r>
      </w:hyperlink>
      <w:r>
        <w:t xml:space="preserve"> мониторинга реализации соглашений о государственно-частном партнерстве, соглашений о </w:t>
      </w:r>
      <w:proofErr w:type="spellStart"/>
      <w:r>
        <w:t>муниципально</w:t>
      </w:r>
      <w:proofErr w:type="spellEnd"/>
      <w:r>
        <w:t>-частном партнерстве (далее - Порядок).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2. Рекомендовать:</w:t>
      </w:r>
    </w:p>
    <w:p w:rsidR="005B6435" w:rsidRDefault="005B6435">
      <w:pPr>
        <w:pStyle w:val="ConsPlusNormal"/>
        <w:spacing w:before="220"/>
        <w:ind w:firstLine="540"/>
        <w:jc w:val="both"/>
      </w:pPr>
      <w:proofErr w:type="gramStart"/>
      <w:r>
        <w:t>органам государственной власти субъектов Российской Федерации, выступающим от имени субъектов Российской Федерации в качестве публичных партнеров по действующим на 1 июля 2021 г. соглашениям о государственно-частном партнерстве, обеспечить внесение до 31 декабря 2021 г. в государственную автоматизированную информационную систему "Управление" сведений о предусмотренных Порядком прогнозных и фактически исполненных условных и безусловных обязательствах;</w:t>
      </w:r>
      <w:proofErr w:type="gramEnd"/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органам местного самоуправления, выступающим от имени муниципальных образований в качестве публичных партнеров по действующим на 1 июля 2022 г. соглашениям о </w:t>
      </w:r>
      <w:proofErr w:type="spellStart"/>
      <w:r>
        <w:t>муниципально</w:t>
      </w:r>
      <w:proofErr w:type="spellEnd"/>
      <w:r>
        <w:t>-частном партнерстве, обеспечить внесение до 31 декабря 2022 г. в государственную автоматизированную информационную систему "Управление" сведений о предусмотренных Порядком прогнозных и фактически исполненных условных и безусловных обязательствах.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3. Признать утратившим силу </w:t>
      </w:r>
      <w:hyperlink r:id="rId8">
        <w:r>
          <w:rPr>
            <w:color w:val="0000FF"/>
          </w:rPr>
          <w:t>приказ</w:t>
        </w:r>
      </w:hyperlink>
      <w:r>
        <w:t xml:space="preserve"> Минэкономразвития России от 27 ноября 2015 г. N 888 "Об утверждении порядка мониторинга реализации соглашений о государственно-частном партнерстве, соглашений о </w:t>
      </w:r>
      <w:proofErr w:type="spellStart"/>
      <w:r>
        <w:t>муниципально</w:t>
      </w:r>
      <w:proofErr w:type="spellEnd"/>
      <w:r>
        <w:t>-частном партнерстве" (зарегистрирован в Минюсте России 25 декабря 2015 г., регистрационный N 40290).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right"/>
      </w:pPr>
      <w:r>
        <w:t>Министр</w:t>
      </w:r>
    </w:p>
    <w:p w:rsidR="005B6435" w:rsidRDefault="005B6435">
      <w:pPr>
        <w:pStyle w:val="ConsPlusNormal"/>
        <w:jc w:val="right"/>
      </w:pPr>
      <w:r>
        <w:t>М.Г.РЕШЕТНИКОВ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right"/>
        <w:outlineLvl w:val="0"/>
      </w:pPr>
      <w:r>
        <w:t>Утвержден</w:t>
      </w:r>
    </w:p>
    <w:p w:rsidR="005B6435" w:rsidRDefault="005B6435">
      <w:pPr>
        <w:pStyle w:val="ConsPlusNormal"/>
        <w:jc w:val="right"/>
      </w:pPr>
      <w:r>
        <w:t>приказом Минэкономразвития России</w:t>
      </w:r>
    </w:p>
    <w:p w:rsidR="005B6435" w:rsidRDefault="005B6435">
      <w:pPr>
        <w:pStyle w:val="ConsPlusNormal"/>
        <w:jc w:val="right"/>
      </w:pPr>
      <w:r>
        <w:t>от 02.02.2021 г. N 40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Title"/>
        <w:jc w:val="center"/>
      </w:pPr>
      <w:bookmarkStart w:id="1" w:name="P31"/>
      <w:bookmarkEnd w:id="1"/>
      <w:r>
        <w:t>ПОРЯДОК</w:t>
      </w:r>
    </w:p>
    <w:p w:rsidR="005B6435" w:rsidRDefault="005B6435">
      <w:pPr>
        <w:pStyle w:val="ConsPlusTitle"/>
        <w:jc w:val="center"/>
      </w:pPr>
      <w:r>
        <w:t xml:space="preserve">МОНИТОРИНГА РЕАЛИЗАЦИИ СОГЛАШЕНИЙ О </w:t>
      </w:r>
      <w:proofErr w:type="gramStart"/>
      <w:r>
        <w:t>ГОСУДАРСТВЕННО-ЧАСТНОМ</w:t>
      </w:r>
      <w:proofErr w:type="gramEnd"/>
    </w:p>
    <w:p w:rsidR="005B6435" w:rsidRDefault="005B6435">
      <w:pPr>
        <w:pStyle w:val="ConsPlusTitle"/>
        <w:jc w:val="center"/>
      </w:pPr>
      <w:proofErr w:type="gramStart"/>
      <w:r>
        <w:t>ПАРТНЕРСТВЕ</w:t>
      </w:r>
      <w:proofErr w:type="gramEnd"/>
      <w:r>
        <w:t>, СОГЛАШЕНИЙ О МУНИЦИПАЛЬНО-ЧАСТНОМ ПАРТНЕРСТВЕ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ind w:firstLine="540"/>
        <w:jc w:val="both"/>
      </w:pPr>
      <w:r>
        <w:t xml:space="preserve">1. Настоящий Порядок определяет правила осуществления мониторинга реализации соглашений о государственно-частном партнерстве, соглашений о </w:t>
      </w:r>
      <w:proofErr w:type="spellStart"/>
      <w:r>
        <w:t>муниципально</w:t>
      </w:r>
      <w:proofErr w:type="spellEnd"/>
      <w:r>
        <w:t>-частном партнерстве (далее соответственно - соглашения, мониторинг).</w:t>
      </w:r>
    </w:p>
    <w:p w:rsidR="005B6435" w:rsidRDefault="005B6435">
      <w:pPr>
        <w:pStyle w:val="ConsPlusNormal"/>
        <w:spacing w:before="220"/>
        <w:ind w:firstLine="540"/>
        <w:jc w:val="both"/>
      </w:pPr>
      <w:bookmarkStart w:id="2" w:name="P36"/>
      <w:bookmarkEnd w:id="2"/>
      <w:r>
        <w:t>2. Мониторинг соглашений, публичным партнером в которых является Российская Федерация, и соглашений, заключенных по результатам проведения совместного конкурса с участием Российской Федерации, проводится Минэкономразвития России.</w:t>
      </w:r>
    </w:p>
    <w:p w:rsidR="005B6435" w:rsidRDefault="005B6435">
      <w:pPr>
        <w:pStyle w:val="ConsPlusNormal"/>
        <w:spacing w:before="220"/>
        <w:ind w:firstLine="540"/>
        <w:jc w:val="both"/>
      </w:pPr>
      <w:bookmarkStart w:id="3" w:name="P37"/>
      <w:bookmarkEnd w:id="3"/>
      <w:proofErr w:type="gramStart"/>
      <w:r>
        <w:t>Мониторинг соглашений, публичным партнером в которых является субъект Российской Федерации, в том числе соглашений, заключенных по результатам проведения совместного конкурса с участием субъекта Российской Федерации (за исключением проведения совместного конкурса с участием Российской Федерации), проводится Минэкономразвития России, а также уполномоченным органом исполнительной власти субъекта Российской Федерации (далее - уполномоченный орган субъекта Российской Федерации).</w:t>
      </w:r>
      <w:proofErr w:type="gramEnd"/>
    </w:p>
    <w:p w:rsidR="005B6435" w:rsidRDefault="005B6435">
      <w:pPr>
        <w:pStyle w:val="ConsPlusNormal"/>
        <w:spacing w:before="220"/>
        <w:ind w:firstLine="540"/>
        <w:jc w:val="both"/>
      </w:pPr>
      <w:bookmarkStart w:id="4" w:name="P38"/>
      <w:bookmarkEnd w:id="4"/>
      <w:r>
        <w:t>Мониторинг соглашений, публичным партнером в которых является муниципальное образование, проводится Минэкономразвития России, уполномоченным органом субъекта Российской Федерации, на территории которого находится соответствующее муниципальное образование, а также уполномоченным в соответствии с уставом муниципального образования органом местного самоуправления.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3. </w:t>
      </w:r>
      <w:proofErr w:type="gramStart"/>
      <w:r>
        <w:t>Мониторинг проводится посредством сбора, анализа, обобщения, систематизации и учета в государственной автоматизированной информационной системе "Управление" (далее - информационная система) сведений о планируемых к заключению, реализуемых и реализованных на территории Российской Федерации соглашениях.</w:t>
      </w:r>
      <w:proofErr w:type="gramEnd"/>
    </w:p>
    <w:p w:rsidR="005B6435" w:rsidRDefault="005B6435">
      <w:pPr>
        <w:pStyle w:val="ConsPlusNormal"/>
        <w:spacing w:before="220"/>
        <w:ind w:firstLine="540"/>
        <w:jc w:val="both"/>
      </w:pPr>
      <w:r>
        <w:t>4. Внесение и актуализация в соответствии с настоящим Порядком сведений в информационную систему осуществляются публичными партнерами посредством заполнения соответствующих полей, предусмотренных в модуле "Мониторинг проектов государственно-частного партнерства" информационной системы.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5. Полнота, достоверность и своевременность внесения сведений о соглашениях в информационную систему обеспечиваются публичными партнерами.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6. Сведения о соглашениях, составляющие государственную тайну, в информационной системе не размещаются.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7. В течение 10 рабочих дней после принятия решения о реализации проекта в информационную систему вносятся сведения о таком решении, а также об условиях соглашения, в том числе о технико-экономических показателях объекта соглашения, сроке действия соглашения, планируемом объеме привлекаемых инвестиций.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8. В течение 10 рабочих дней со дня размещения в соответствии с </w:t>
      </w:r>
      <w:hyperlink r:id="rId9">
        <w:r>
          <w:rPr>
            <w:color w:val="0000FF"/>
          </w:rPr>
          <w:t>частью 8 статьи 10</w:t>
        </w:r>
      </w:hyperlink>
      <w:r>
        <w:t xml:space="preserve"> Федерального закона от 13 июля 2015 г. N 224-ФЗ "О государственно-частном партнерстве, </w:t>
      </w:r>
      <w:proofErr w:type="spellStart"/>
      <w:r>
        <w:t>муниципально</w:t>
      </w:r>
      <w:proofErr w:type="spellEnd"/>
      <w:r>
        <w:t xml:space="preserve">-частном партнерстве в Российской Федерации и внесении изменений в отдельные законодательные акты Российской Федерации" (Собрание законодательства Российской Федерации, 2015, N 29, ст. 4350; </w:t>
      </w:r>
      <w:proofErr w:type="gramStart"/>
      <w:r>
        <w:t xml:space="preserve">2018, N 27, ст. 3956) решения о реализации проекта на официальном сайте в информационно-телекоммуникационной сети "Интернет" для размещения информации о проведении торгов, определенном Правительством Российской Федерации (далее - официальный сайт для размещения информации о проведении торгов), в информационную </w:t>
      </w:r>
      <w:r>
        <w:lastRenderedPageBreak/>
        <w:t>систему вносятся сведения о таком решении.</w:t>
      </w:r>
      <w:proofErr w:type="gramEnd"/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В течение 10 рабочих дней </w:t>
      </w:r>
      <w:proofErr w:type="gramStart"/>
      <w:r>
        <w:t>со дня истечения срока размещения решения о реализации проекта на официальном сайте для размещения информации о проведении</w:t>
      </w:r>
      <w:proofErr w:type="gramEnd"/>
      <w:r>
        <w:t xml:space="preserve"> торгов в информационную систему вносятся сведения об итогах размещения такого решения.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До момента заключения соглашения сведения о </w:t>
      </w:r>
      <w:proofErr w:type="gramStart"/>
      <w:r>
        <w:t>решении</w:t>
      </w:r>
      <w:proofErr w:type="gramEnd"/>
      <w:r>
        <w:t xml:space="preserve"> о реализации проекта, принятом на основании предложения о реализации проекта, подготовленного инициатором проекта, а также об итогах размещения такого решения на официальном сайте для размещения информации о проведении торгов ежегодно актуализируются по состоянию на 1 января и 1 июля текущего года соответственно до 15 февраля и 15 августа текущего года.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9. </w:t>
      </w:r>
      <w:proofErr w:type="gramStart"/>
      <w:r>
        <w:t>В течение 10 рабочих дней со дня размещения сообщения о проведении конкурса на право заключения соглашения (далее - конкурс) и конкурсной документации на официальном сайте для размещения информации о проведении торгов, а также подписания протокола о результатах проведения конкурса в информационную систему вносятся соответствующие сведения, в том числе о сроках проведения конкурса, результатах проведения конкурса.</w:t>
      </w:r>
      <w:proofErr w:type="gramEnd"/>
    </w:p>
    <w:p w:rsidR="005B6435" w:rsidRDefault="005B6435">
      <w:pPr>
        <w:pStyle w:val="ConsPlusNormal"/>
        <w:spacing w:before="220"/>
        <w:ind w:firstLine="540"/>
        <w:jc w:val="both"/>
      </w:pPr>
      <w:r>
        <w:t>10. В течение 10 рабочих дней со дня заключения соглашения в информационную систему вносятся сведения об условиях соглашения, включая сведения об осуществляемых в рамках соглашения инвестициях, сроках создания и (или) реконструкции объект</w:t>
      </w:r>
      <w:proofErr w:type="gramStart"/>
      <w:r>
        <w:t>а(</w:t>
      </w:r>
      <w:proofErr w:type="spellStart"/>
      <w:proofErr w:type="gramEnd"/>
      <w:r>
        <w:t>ов</w:t>
      </w:r>
      <w:proofErr w:type="spellEnd"/>
      <w:r>
        <w:t xml:space="preserve">) соглашения, способах обеспечения частным партнером обязательств по соглашению. </w:t>
      </w:r>
      <w:proofErr w:type="gramStart"/>
      <w:r>
        <w:t>В случае если публичным партнером по соглашению выступает Российская Федерация, в течение 10 рабочих дней со дня заключения соглашения в информационную систему также вносятся прогнозные сведения об осуществляемых в соответствии с соглашением инвестициях и источниках их финансирования, операционных расходах и выручке частного партнера от осуществления деятельности по соглашению, стоимости передаваемого публичным партнером частному партнеру имущества на дату заключения соглашения (далее</w:t>
      </w:r>
      <w:proofErr w:type="gramEnd"/>
      <w:r>
        <w:t xml:space="preserve"> - </w:t>
      </w:r>
      <w:proofErr w:type="gramStart"/>
      <w:r>
        <w:t xml:space="preserve">финансово-экономические показатели реализации соглашения), за исключением сведений, внесение которых предусмотрено </w:t>
      </w:r>
      <w:hyperlink w:anchor="P58">
        <w:r>
          <w:rPr>
            <w:color w:val="0000FF"/>
          </w:rPr>
          <w:t>пунктом 14</w:t>
        </w:r>
      </w:hyperlink>
      <w:r>
        <w:t xml:space="preserve"> настоящего Порядка.</w:t>
      </w:r>
      <w:proofErr w:type="gramEnd"/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11. </w:t>
      </w:r>
      <w:proofErr w:type="gramStart"/>
      <w:r>
        <w:t>В течение 10 рабочих дней со дня изменения соглашения в информационной системе актуализируются сведения об условиях соглашения, в том числе о расходных обязательствах публичного партнера, возникающих на основании соглашения, не зависящих от наступления каких-либо условий, предусмотренных соглашением (далее - безусловные обязательства) и обязательствах публичного партнера, возникающих при исполнении соглашения в связи с наступлением определенных условий, предусмотренных соглашением, а также в случае</w:t>
      </w:r>
      <w:proofErr w:type="gramEnd"/>
      <w:r>
        <w:t xml:space="preserve"> досрочного расторжения соглашения (далее - условные обязательства), которые были скорректированы в результате такого изменения, а также сведения о прогнозных и фактических значениях финансово-экономических показателей реализации соглашения, публичным партнером по которому выступает Российская Федерация, в случае их изменения.</w:t>
      </w:r>
    </w:p>
    <w:p w:rsidR="005B6435" w:rsidRDefault="005B6435">
      <w:pPr>
        <w:pStyle w:val="ConsPlusNormal"/>
        <w:spacing w:before="220"/>
        <w:ind w:firstLine="540"/>
        <w:jc w:val="both"/>
      </w:pPr>
      <w:bookmarkStart w:id="5" w:name="P50"/>
      <w:bookmarkEnd w:id="5"/>
      <w:r>
        <w:t xml:space="preserve">12. </w:t>
      </w:r>
      <w:proofErr w:type="gramStart"/>
      <w:r>
        <w:t>Ежегодно до 15 февраля и 15 августа в течение всего периода с даты принятия решения о реализации проекта до даты прекращения соглашения либо до даты отмены решения о реализации проекта в информационной системе актуализируются сведения о проекте соглашения и (или) заключенном соглашении по состоянию на 1 января и 1 июля текущего года соответственно, за исключением сведений о прогнозных и фактических</w:t>
      </w:r>
      <w:proofErr w:type="gramEnd"/>
      <w:r>
        <w:t xml:space="preserve"> </w:t>
      </w:r>
      <w:proofErr w:type="gramStart"/>
      <w:r>
        <w:t>значениях</w:t>
      </w:r>
      <w:proofErr w:type="gramEnd"/>
      <w:r>
        <w:t xml:space="preserve"> финансово-экономических показателей реализации соглашения и сведений о фактически исполненных обязательствах частного партнера по соглашению. При этом информация о юридически значимых действиях, связанных с соглашением (внесение в него изменений и прекращение соглашения, ввод объекта соглашения в эксплуатацию), размещается в информационной системе в течение 10 рабочих дней со дня совершения таких действий.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Частным партнером ежегодно на основании запроса публичного партнера предоставляется публичному партнеру информация о фактически исполненных обязательствах частного партнера </w:t>
      </w:r>
      <w:r>
        <w:lastRenderedPageBreak/>
        <w:t>по соглашению по состоянию на 1 января текущего года.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Публичным партнером ежегодно до 31 мая в информационной системе размещаются сведения, представленные частным партнером о фактически исполненных им обязательствах по соглашению по состоянию на 1 января текущего года.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13. </w:t>
      </w:r>
      <w:proofErr w:type="gramStart"/>
      <w:r>
        <w:t>В течение 30 календарных дней со дня заключения соглашения в информационную систему вносятся сведения о предусмотренных в таком соглашении безусловных и условных обязательствах с указанием отдельных положений соглашения, предусматривающих такие условные и безусловные обязательства.</w:t>
      </w:r>
      <w:proofErr w:type="gramEnd"/>
    </w:p>
    <w:p w:rsidR="005B6435" w:rsidRDefault="005B6435">
      <w:pPr>
        <w:pStyle w:val="ConsPlusNormal"/>
        <w:spacing w:before="220"/>
        <w:ind w:firstLine="540"/>
        <w:jc w:val="both"/>
      </w:pPr>
      <w:r>
        <w:t>В случае если в соглашении установлены формулы расчета и (или) порядок индексации прогнозного размера безусловных обязательств, максимального размера условных обязательств, актуализация прогнозного размера безусловных обязательств и (или) максимального размера условных обязательств осуществляется ежегодно до 15 февраля с приложением соответствующих расчетов.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Сведения о фактически исполненных безусловных и условных обязательствах по состоянию на 1 января и 1 июля текущего года актуализируются в информационной системе соответственно до 15 февраля и 15 августа текущего года.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Сведения, содержащиеся в информационной системе об условных и безусловных обязательствах, могут быть использованы Минфином России в целях проведения им оценки таких обязательств.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В случае если после прекращения соглашения условные и безусловные обязательства перед частным партнером не были исполнены в полном объеме, актуализация сведений о таких обязательствах в информационной системе осуществляется до полного их исполнения.</w:t>
      </w:r>
    </w:p>
    <w:p w:rsidR="005B6435" w:rsidRDefault="005B6435">
      <w:pPr>
        <w:pStyle w:val="ConsPlusNormal"/>
        <w:spacing w:before="220"/>
        <w:ind w:firstLine="540"/>
        <w:jc w:val="both"/>
      </w:pPr>
      <w:bookmarkStart w:id="6" w:name="P58"/>
      <w:bookmarkEnd w:id="6"/>
      <w:r>
        <w:t>14. Сведения о прогнозных и фактически исполненных условных и безусловных обязательствах, прогнозных значениях финансово-экономических показателей реализации соглашений, действующих на дату вступления в силу настоящего Порядка, в случае если публичным партнером в таких соглашениях является Российская Федерация, вносятся в информационную систему до 15 мая 2021 года.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Сведения о фактических значениях финансово-экономических показателей реализации соглашений, действующих на дату вступления в силу настоящего Порядка, в случае если публичным партнером в таких соглашениях является Российская Федерация, вносятся в информационную систему до 15 мая 2021 года.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15. </w:t>
      </w:r>
      <w:proofErr w:type="gramStart"/>
      <w:r>
        <w:t xml:space="preserve">Внесение в информационную систему соответствующих сведений о соглашениях осуществляется с размещением одного или нескольких обосновывающих документов в виде электронных документов либо электронных образов документов (документов на бумажном носителе, преобразованных в электронно-цифровую форму путем сканирования с сохранением их реквизитов), подтверждающих полноту и достоверность внесенных сведений (далее - обосновывающие документы), по перечню согласно </w:t>
      </w:r>
      <w:hyperlink w:anchor="P82">
        <w:r>
          <w:rPr>
            <w:color w:val="0000FF"/>
          </w:rPr>
          <w:t>приложению N 1</w:t>
        </w:r>
      </w:hyperlink>
      <w:r>
        <w:t xml:space="preserve"> к настоящему Порядку.</w:t>
      </w:r>
      <w:proofErr w:type="gramEnd"/>
      <w:r>
        <w:t xml:space="preserve"> </w:t>
      </w:r>
      <w:proofErr w:type="gramStart"/>
      <w:r>
        <w:t xml:space="preserve">При этом внесенные в информационную систему сведения должны в полной мере соответствовать информации, представленной в обосновывающих документах, и быть подписаны электронной подписью в соответствии со </w:t>
      </w:r>
      <w:hyperlink r:id="rId10">
        <w:r>
          <w:rPr>
            <w:color w:val="0000FF"/>
          </w:rPr>
          <w:t>статьей 5</w:t>
        </w:r>
      </w:hyperlink>
      <w:r>
        <w:t xml:space="preserve"> Федерального закона от 6 апреля 2011 г. N 63-ФЗ "Об электронной подписи" (Собрание законодательства Российской Федерации, 2011, N 15, ст. 2036; 2016, N 1 (часть I), ст. 65).</w:t>
      </w:r>
      <w:proofErr w:type="gramEnd"/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16. Минэкономразвития России по истечении сроков, указанных в предложении первом </w:t>
      </w:r>
      <w:hyperlink w:anchor="P50">
        <w:r>
          <w:rPr>
            <w:color w:val="0000FF"/>
          </w:rPr>
          <w:t>пункта 12</w:t>
        </w:r>
      </w:hyperlink>
      <w:r>
        <w:t xml:space="preserve"> настоящего Порядка, направляет в высший орган исполнительной власти субъекта Российской Федерации, на территории которого реализуются или планируются к реализации соглашения, информацию о проектах соглашений и (или) соглашениях, сведения о которых не </w:t>
      </w:r>
      <w:r>
        <w:lastRenderedPageBreak/>
        <w:t>были актуализированы. В случае если публичным партнером по соглашению является Российская Федерация, Минэкономразвития России направляет указанную информацию в Правительство Российской Федерации.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17. Сведения о контактных данных лиц, ответственных за внесение в информационную систему сведений о соглашениях, представляются в Минэкономразвития России публичными партнерами ежегодно в срок до 15 февраля и до 15 августа (рекомендуемый образец приведен в </w:t>
      </w:r>
      <w:hyperlink w:anchor="P125">
        <w:r>
          <w:rPr>
            <w:color w:val="0000FF"/>
          </w:rPr>
          <w:t>приложении N 2</w:t>
        </w:r>
      </w:hyperlink>
      <w:r>
        <w:t xml:space="preserve"> к настоящему Порядку).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18. </w:t>
      </w:r>
      <w:proofErr w:type="gramStart"/>
      <w:r>
        <w:t xml:space="preserve">Уполномоченный орган местного самоуправления ежегодно, до 1 февраля года, следующего за отчетным годом, формирует и размещает на своем официальном сайте (в случае отсутствия такого сайта - на сайте субъекта Российской Федерации, в состав которого входит соответствующее муниципальное образование) в информационно-телекоммуникационной сети "Интернет" результаты мониторинга соглашений, указанных в </w:t>
      </w:r>
      <w:hyperlink w:anchor="P38">
        <w:r>
          <w:rPr>
            <w:color w:val="0000FF"/>
          </w:rPr>
          <w:t>абзаце третьем пункта 2</w:t>
        </w:r>
      </w:hyperlink>
      <w:r>
        <w:t xml:space="preserve"> настоящего Порядка, за отчетный год (рекомендуемый образец приведен в </w:t>
      </w:r>
      <w:hyperlink w:anchor="P176">
        <w:r>
          <w:rPr>
            <w:color w:val="0000FF"/>
          </w:rPr>
          <w:t>приложении</w:t>
        </w:r>
        <w:proofErr w:type="gramEnd"/>
        <w:r>
          <w:rPr>
            <w:color w:val="0000FF"/>
          </w:rPr>
          <w:t xml:space="preserve"> </w:t>
        </w:r>
        <w:proofErr w:type="gramStart"/>
        <w:r>
          <w:rPr>
            <w:color w:val="0000FF"/>
          </w:rPr>
          <w:t>N 3</w:t>
        </w:r>
      </w:hyperlink>
      <w:r>
        <w:t xml:space="preserve"> к настоящему Порядку).</w:t>
      </w:r>
      <w:proofErr w:type="gramEnd"/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19. </w:t>
      </w:r>
      <w:proofErr w:type="gramStart"/>
      <w:r>
        <w:t xml:space="preserve">Уполномоченный орган субъекта Российской Федерации ежегодно, до 15 февраля года, следующего за отчетным годом, формирует и размещает на своем официальном сайте в информационно-телекоммуникационной сети "Интернет" результаты мониторинга реализации соглашений, указанных в </w:t>
      </w:r>
      <w:hyperlink w:anchor="P37">
        <w:r>
          <w:rPr>
            <w:color w:val="0000FF"/>
          </w:rPr>
          <w:t>абзацах втором</w:t>
        </w:r>
      </w:hyperlink>
      <w:r>
        <w:t xml:space="preserve"> и </w:t>
      </w:r>
      <w:hyperlink w:anchor="P38">
        <w:r>
          <w:rPr>
            <w:color w:val="0000FF"/>
          </w:rPr>
          <w:t>третьем пункта 2</w:t>
        </w:r>
      </w:hyperlink>
      <w:r>
        <w:t xml:space="preserve"> настоящего Порядка, за отчетный год (рекомендуемый образец приведен в </w:t>
      </w:r>
      <w:hyperlink w:anchor="P176">
        <w:r>
          <w:rPr>
            <w:color w:val="0000FF"/>
          </w:rPr>
          <w:t>приложении N 3</w:t>
        </w:r>
      </w:hyperlink>
      <w:r>
        <w:t xml:space="preserve"> к настоящему Порядку).</w:t>
      </w:r>
      <w:proofErr w:type="gramEnd"/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20. Минэкономразвития России ежегодно до 15 марта года, следующего за отчетным годом, формирует и размещает на своем официальном сайте в информационно-телекоммуникационной сети "Интернет" результаты мониторинга соглашений, указанных в </w:t>
      </w:r>
      <w:hyperlink w:anchor="P36">
        <w:r>
          <w:rPr>
            <w:color w:val="0000FF"/>
          </w:rPr>
          <w:t>абзацах первом</w:t>
        </w:r>
      </w:hyperlink>
      <w:r>
        <w:t xml:space="preserve"> - </w:t>
      </w:r>
      <w:hyperlink w:anchor="P38">
        <w:r>
          <w:rPr>
            <w:color w:val="0000FF"/>
          </w:rPr>
          <w:t>третьем пункта 2</w:t>
        </w:r>
      </w:hyperlink>
      <w:r>
        <w:t xml:space="preserve"> настоящего Порядка, за отчетный год (рекомендуемый образец приведен в </w:t>
      </w:r>
      <w:hyperlink w:anchor="P176">
        <w:r>
          <w:rPr>
            <w:color w:val="0000FF"/>
          </w:rPr>
          <w:t>приложении N 3</w:t>
        </w:r>
      </w:hyperlink>
      <w:r>
        <w:t xml:space="preserve"> к настоящему Порядку).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21. Сведения, предоставленные в информационную систему в целях проведения мониторинга, хранятся в указанной системе в течение срока действия соглашения и не менее 15 лет со дня окончания срока его действия.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22. </w:t>
      </w:r>
      <w:proofErr w:type="gramStart"/>
      <w:r>
        <w:t xml:space="preserve">По поручению Правительства Российской Федерации Минэкономразвития России формирует на основании сведений, внесенных публичными партнерами в информационную систему, результаты мониторинга отдельных соглашений на предмет соблюдения сторонами соглашения взятых на себя обязательств по достижению целевых показателей, содержащихся в соглашении, сроков их реализации, объема привлекаемых инвестиций и иных существенных условий соглашения (рекомендуемый образец приведен в </w:t>
      </w:r>
      <w:hyperlink w:anchor="P245">
        <w:r>
          <w:rPr>
            <w:color w:val="0000FF"/>
          </w:rPr>
          <w:t>приложении N 4</w:t>
        </w:r>
      </w:hyperlink>
      <w:r>
        <w:t xml:space="preserve"> к настоящему Порядку).</w:t>
      </w:r>
      <w:proofErr w:type="gramEnd"/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right"/>
        <w:outlineLvl w:val="1"/>
      </w:pPr>
      <w:r>
        <w:t>Приложение N 1</w:t>
      </w:r>
    </w:p>
    <w:p w:rsidR="005B6435" w:rsidRDefault="005B6435">
      <w:pPr>
        <w:pStyle w:val="ConsPlusNormal"/>
        <w:jc w:val="right"/>
      </w:pPr>
      <w:r>
        <w:t>к Порядку мониторинга реализации</w:t>
      </w:r>
    </w:p>
    <w:p w:rsidR="005B6435" w:rsidRDefault="005B6435">
      <w:pPr>
        <w:pStyle w:val="ConsPlusNormal"/>
        <w:jc w:val="right"/>
      </w:pPr>
      <w:r>
        <w:t xml:space="preserve">соглашений о </w:t>
      </w:r>
      <w:proofErr w:type="gramStart"/>
      <w:r>
        <w:t>государственно-частном</w:t>
      </w:r>
      <w:proofErr w:type="gramEnd"/>
    </w:p>
    <w:p w:rsidR="005B6435" w:rsidRDefault="005B6435">
      <w:pPr>
        <w:pStyle w:val="ConsPlusNormal"/>
        <w:jc w:val="right"/>
      </w:pPr>
      <w:proofErr w:type="gramStart"/>
      <w:r>
        <w:t>партнерстве</w:t>
      </w:r>
      <w:proofErr w:type="gramEnd"/>
      <w:r>
        <w:t>, соглашений</w:t>
      </w:r>
    </w:p>
    <w:p w:rsidR="005B6435" w:rsidRDefault="005B6435">
      <w:pPr>
        <w:pStyle w:val="ConsPlusNormal"/>
        <w:jc w:val="right"/>
      </w:pPr>
      <w:r>
        <w:t xml:space="preserve">о </w:t>
      </w:r>
      <w:proofErr w:type="spellStart"/>
      <w:r>
        <w:t>муниципально</w:t>
      </w:r>
      <w:proofErr w:type="spellEnd"/>
      <w:r>
        <w:t>-частном партнерстве,</w:t>
      </w:r>
    </w:p>
    <w:p w:rsidR="005B6435" w:rsidRDefault="005B6435">
      <w:pPr>
        <w:pStyle w:val="ConsPlusNormal"/>
        <w:jc w:val="right"/>
      </w:pPr>
      <w:proofErr w:type="gramStart"/>
      <w:r>
        <w:t>утвержденному</w:t>
      </w:r>
      <w:proofErr w:type="gramEnd"/>
      <w:r>
        <w:t xml:space="preserve"> приказом</w:t>
      </w:r>
    </w:p>
    <w:p w:rsidR="005B6435" w:rsidRDefault="005B6435">
      <w:pPr>
        <w:pStyle w:val="ConsPlusNormal"/>
        <w:jc w:val="right"/>
      </w:pPr>
      <w:r>
        <w:t>Минэкономразвития России</w:t>
      </w:r>
    </w:p>
    <w:p w:rsidR="005B6435" w:rsidRDefault="005B6435">
      <w:pPr>
        <w:pStyle w:val="ConsPlusNormal"/>
        <w:jc w:val="right"/>
      </w:pPr>
      <w:r>
        <w:t>от 02.02.2021 г. N 40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Title"/>
        <w:jc w:val="center"/>
      </w:pPr>
      <w:bookmarkStart w:id="7" w:name="P82"/>
      <w:bookmarkEnd w:id="7"/>
      <w:r>
        <w:t>ПЕРЕЧЕНЬ</w:t>
      </w:r>
    </w:p>
    <w:p w:rsidR="005B6435" w:rsidRDefault="005B6435">
      <w:pPr>
        <w:pStyle w:val="ConsPlusTitle"/>
        <w:jc w:val="center"/>
      </w:pPr>
      <w:r>
        <w:lastRenderedPageBreak/>
        <w:t>ОБОСНОВЫВАЮЩИХ ДОКУМЕНТОВ, ПОДТВЕРЖДАЮЩИХ</w:t>
      </w:r>
    </w:p>
    <w:p w:rsidR="005B6435" w:rsidRDefault="005B6435">
      <w:pPr>
        <w:pStyle w:val="ConsPlusTitle"/>
        <w:jc w:val="center"/>
      </w:pPr>
      <w:r>
        <w:t xml:space="preserve">ПОЛНОТУ И ДОСТОВЕРНОСТЬ </w:t>
      </w:r>
      <w:proofErr w:type="gramStart"/>
      <w:r>
        <w:t>ВНЕСЕННЫХ</w:t>
      </w:r>
      <w:proofErr w:type="gramEnd"/>
      <w:r>
        <w:t xml:space="preserve"> В ГОСУДАРСТВЕННУЮ</w:t>
      </w:r>
    </w:p>
    <w:p w:rsidR="005B6435" w:rsidRDefault="005B6435">
      <w:pPr>
        <w:pStyle w:val="ConsPlusTitle"/>
        <w:jc w:val="center"/>
      </w:pPr>
      <w:r>
        <w:t>АВТОМАТИЗИРОВАННУЮ ИНФОРМАЦИОННУЮ СИСТЕМУ "УПРАВЛЕНИЕ"</w:t>
      </w:r>
    </w:p>
    <w:p w:rsidR="005B6435" w:rsidRDefault="005B6435">
      <w:pPr>
        <w:pStyle w:val="ConsPlusTitle"/>
        <w:jc w:val="center"/>
      </w:pPr>
      <w:r>
        <w:t xml:space="preserve">СВЕДЕНИЙ О </w:t>
      </w:r>
      <w:proofErr w:type="gramStart"/>
      <w:r>
        <w:t>СОГЛАШЕНИЯХ</w:t>
      </w:r>
      <w:proofErr w:type="gramEnd"/>
      <w:r>
        <w:t xml:space="preserve"> О ГОСУДАРСТВЕННО-ЧАСТНОМ ПАРТНЕРСТВЕ,</w:t>
      </w:r>
    </w:p>
    <w:p w:rsidR="005B6435" w:rsidRDefault="005B6435">
      <w:pPr>
        <w:pStyle w:val="ConsPlusTitle"/>
        <w:jc w:val="center"/>
      </w:pPr>
      <w:proofErr w:type="gramStart"/>
      <w:r>
        <w:t>СОГЛАШЕНИЯХ</w:t>
      </w:r>
      <w:proofErr w:type="gramEnd"/>
      <w:r>
        <w:t xml:space="preserve"> О МУНИЦИПАЛЬНО-ЧАСТНОМ ПАРТНЕРСТВЕ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ind w:firstLine="540"/>
        <w:jc w:val="both"/>
      </w:pPr>
      <w:r>
        <w:t>1. Предложение о реализации проекта.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2. Решение о направлении предложения о реализации проекта на рассмотрение в орган, уполномоченный на рассмотрение предложения.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3. Заключение об эффективности проекта и его сравнительном преимуществе, заключение о неэффективности проекта и (или) об отсутствии его сравнительного преимущества.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4. Решение о реализации проекта.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5. Конкурсная документация.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6. Протокол о результатах проведения конкурса на право заключения соглашения.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7. Решение о признании конкурса на право заключения соглашения </w:t>
      </w:r>
      <w:proofErr w:type="gramStart"/>
      <w:r>
        <w:t>несостоявшимся</w:t>
      </w:r>
      <w:proofErr w:type="gramEnd"/>
      <w:r>
        <w:t>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8. Проект соглашения (со всеми приложениями).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9. Соглашение (со всеми приложениями).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10. Финансовая модель и (или) бизнес-план реализации соглашения.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11. Подписанные уполномоченным лицом частного партнера письма и (или) иные документы, содержащие сведения о предусмотренных и фактически достигнутых значениях финансово-экономических показателей реализации соглашения, публичным партнером по которому выступает Российская Федерация.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12. Подписанные уполномоченным лицом частного партнера письма и (или) иные документы, содержащие сведения о фактически исполненных обязательствах частного партнера по соглашению.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13. Расчет предусмотренных соглашением прогнозного размера безусловных обязательств, максимального размера условных обязательств, в случае если в соглашении установлены формулы расчета и (или) порядок индексации безусловных обязательств, максимального размера условных обязательств.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 xml:space="preserve">14. </w:t>
      </w:r>
      <w:proofErr w:type="gramStart"/>
      <w:r>
        <w:t xml:space="preserve">Инвестиционная программа, утвержденная органом исполнительной власти субъекта Российской Федерации и (или) органом местного самоуправления в случаях, предусмотренных </w:t>
      </w:r>
      <w:hyperlink r:id="rId11">
        <w:r>
          <w:rPr>
            <w:color w:val="0000FF"/>
          </w:rPr>
          <w:t>частью 6 статьи 12</w:t>
        </w:r>
      </w:hyperlink>
      <w:r>
        <w:t xml:space="preserve"> Федерального закона от 13 июля 2015 г. N 224-ФЗ "О государственно-частном партнерстве, </w:t>
      </w:r>
      <w:proofErr w:type="spellStart"/>
      <w:r>
        <w:t>муниципально</w:t>
      </w:r>
      <w:proofErr w:type="spellEnd"/>
      <w:r>
        <w:t>-частном партнерстве в Российской Федерации и внесении изменений в отдельные законодательные акты Российской Федерации" (Собрание законодательства Российской Федерации, 2015, N 29, ст. 4350;</w:t>
      </w:r>
      <w:proofErr w:type="gramEnd"/>
      <w:r>
        <w:t xml:space="preserve"> </w:t>
      </w:r>
      <w:proofErr w:type="gramStart"/>
      <w:r>
        <w:t>2018, N 27, ст. 3956).</w:t>
      </w:r>
      <w:proofErr w:type="gramEnd"/>
    </w:p>
    <w:p w:rsidR="005B6435" w:rsidRDefault="005B6435">
      <w:pPr>
        <w:pStyle w:val="ConsPlusNormal"/>
        <w:spacing w:before="220"/>
        <w:ind w:firstLine="540"/>
        <w:jc w:val="both"/>
      </w:pPr>
      <w:r>
        <w:t>15. Акты ввода объектов соглашений в эксплуатацию.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16. Копии исполненных платежных поручений и (или) иные документы, подтверждающие сведения о фактически исполненных условных и безусловных обязательствах.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17. Решение о прекращении соглашения.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18. Решение о внесении изменений в условия соглашения.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lastRenderedPageBreak/>
        <w:t>19. Бухгалтерская (финансовая) отчетность частного партнера, в случае если публичным партнером в соглашении выступает Российская Федерация.</w:t>
      </w:r>
    </w:p>
    <w:p w:rsidR="005B6435" w:rsidRDefault="005B6435">
      <w:pPr>
        <w:pStyle w:val="ConsPlusNormal"/>
        <w:spacing w:before="220"/>
        <w:ind w:firstLine="540"/>
        <w:jc w:val="both"/>
      </w:pPr>
      <w:r>
        <w:t>20. Решения федеральных органов исполнительной власти, органов исполнительной власти субъектов Российской Федерации, органов местного самоуправления, в сфере тарифного регулирования об установлении тарифов и (или) долгосрочных параметров регулирования тарифов в отношении товаров, работ, услуг, производимых частным партнером.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right"/>
        <w:outlineLvl w:val="1"/>
      </w:pPr>
      <w:r>
        <w:t>Приложение N 2</w:t>
      </w:r>
    </w:p>
    <w:p w:rsidR="005B6435" w:rsidRDefault="005B6435">
      <w:pPr>
        <w:pStyle w:val="ConsPlusNormal"/>
        <w:jc w:val="right"/>
      </w:pPr>
      <w:r>
        <w:t>к Порядку мониторинга реализации</w:t>
      </w:r>
    </w:p>
    <w:p w:rsidR="005B6435" w:rsidRDefault="005B6435">
      <w:pPr>
        <w:pStyle w:val="ConsPlusNormal"/>
        <w:jc w:val="right"/>
      </w:pPr>
      <w:r>
        <w:t xml:space="preserve">соглашений о </w:t>
      </w:r>
      <w:proofErr w:type="gramStart"/>
      <w:r>
        <w:t>государственно-частном</w:t>
      </w:r>
      <w:proofErr w:type="gramEnd"/>
    </w:p>
    <w:p w:rsidR="005B6435" w:rsidRDefault="005B6435">
      <w:pPr>
        <w:pStyle w:val="ConsPlusNormal"/>
        <w:jc w:val="right"/>
      </w:pPr>
      <w:proofErr w:type="gramStart"/>
      <w:r>
        <w:t>партнерстве</w:t>
      </w:r>
      <w:proofErr w:type="gramEnd"/>
      <w:r>
        <w:t>, соглашений</w:t>
      </w:r>
    </w:p>
    <w:p w:rsidR="005B6435" w:rsidRDefault="005B6435">
      <w:pPr>
        <w:pStyle w:val="ConsPlusNormal"/>
        <w:jc w:val="right"/>
      </w:pPr>
      <w:r>
        <w:t xml:space="preserve">о </w:t>
      </w:r>
      <w:proofErr w:type="spellStart"/>
      <w:r>
        <w:t>муниципально</w:t>
      </w:r>
      <w:proofErr w:type="spellEnd"/>
      <w:r>
        <w:t>-частном партнерстве,</w:t>
      </w:r>
    </w:p>
    <w:p w:rsidR="005B6435" w:rsidRDefault="005B6435">
      <w:pPr>
        <w:pStyle w:val="ConsPlusNormal"/>
        <w:jc w:val="right"/>
      </w:pPr>
      <w:proofErr w:type="gramStart"/>
      <w:r>
        <w:t>утвержденному</w:t>
      </w:r>
      <w:proofErr w:type="gramEnd"/>
      <w:r>
        <w:t xml:space="preserve"> приказом</w:t>
      </w:r>
    </w:p>
    <w:p w:rsidR="005B6435" w:rsidRDefault="005B6435">
      <w:pPr>
        <w:pStyle w:val="ConsPlusNormal"/>
        <w:jc w:val="right"/>
      </w:pPr>
      <w:r>
        <w:t>Минэкономразвития России</w:t>
      </w:r>
    </w:p>
    <w:p w:rsidR="005B6435" w:rsidRDefault="005B6435">
      <w:pPr>
        <w:pStyle w:val="ConsPlusNormal"/>
        <w:jc w:val="right"/>
      </w:pPr>
      <w:r>
        <w:t>от 02.02.2021 г. N 40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right"/>
      </w:pPr>
      <w:r>
        <w:t>Рекомендуемый образец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center"/>
      </w:pPr>
      <w:bookmarkStart w:id="8" w:name="P125"/>
      <w:bookmarkEnd w:id="8"/>
      <w:r>
        <w:t>СВЕДЕНИЯ</w:t>
      </w:r>
    </w:p>
    <w:p w:rsidR="005B6435" w:rsidRDefault="005B6435">
      <w:pPr>
        <w:pStyle w:val="ConsPlusNormal"/>
        <w:jc w:val="center"/>
      </w:pPr>
      <w:r>
        <w:t>о контактных данных лиц, ответственных за внесение сведений</w:t>
      </w:r>
    </w:p>
    <w:p w:rsidR="005B6435" w:rsidRDefault="005B6435">
      <w:pPr>
        <w:pStyle w:val="ConsPlusNormal"/>
        <w:jc w:val="center"/>
      </w:pPr>
      <w:r>
        <w:t>о соглашениях о государственно-частном партнерстве,</w:t>
      </w:r>
    </w:p>
    <w:p w:rsidR="005B6435" w:rsidRDefault="005B6435">
      <w:pPr>
        <w:pStyle w:val="ConsPlusNormal"/>
        <w:jc w:val="center"/>
      </w:pPr>
      <w:proofErr w:type="gramStart"/>
      <w:r>
        <w:t>соглашениях</w:t>
      </w:r>
      <w:proofErr w:type="gramEnd"/>
      <w:r>
        <w:t xml:space="preserve"> о </w:t>
      </w:r>
      <w:proofErr w:type="spellStart"/>
      <w:r>
        <w:t>муниципально</w:t>
      </w:r>
      <w:proofErr w:type="spellEnd"/>
      <w:r>
        <w:t>-частном партнерстве</w:t>
      </w:r>
    </w:p>
    <w:p w:rsidR="005B6435" w:rsidRDefault="005B6435">
      <w:pPr>
        <w:pStyle w:val="ConsPlusNormal"/>
        <w:jc w:val="center"/>
      </w:pPr>
      <w:r>
        <w:t>в государственную автоматизированную информационную</w:t>
      </w:r>
    </w:p>
    <w:p w:rsidR="005B6435" w:rsidRDefault="005B6435">
      <w:pPr>
        <w:pStyle w:val="ConsPlusNormal"/>
        <w:jc w:val="center"/>
      </w:pPr>
      <w:r>
        <w:t>систему "Управление"</w:t>
      </w:r>
    </w:p>
    <w:p w:rsidR="005B6435" w:rsidRDefault="005B643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0"/>
        <w:gridCol w:w="1361"/>
        <w:gridCol w:w="1361"/>
        <w:gridCol w:w="1644"/>
        <w:gridCol w:w="1417"/>
        <w:gridCol w:w="1474"/>
        <w:gridCol w:w="1471"/>
      </w:tblGrid>
      <w:tr w:rsidR="005B6435">
        <w:tc>
          <w:tcPr>
            <w:tcW w:w="340" w:type="dxa"/>
          </w:tcPr>
          <w:p w:rsidR="005B6435" w:rsidRDefault="005B6435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1361" w:type="dxa"/>
          </w:tcPr>
          <w:p w:rsidR="005B6435" w:rsidRDefault="005B6435">
            <w:pPr>
              <w:pStyle w:val="ConsPlusNormal"/>
              <w:jc w:val="center"/>
            </w:pPr>
            <w:r>
              <w:t>Наименование соглашения</w:t>
            </w:r>
          </w:p>
        </w:tc>
        <w:tc>
          <w:tcPr>
            <w:tcW w:w="1361" w:type="dxa"/>
          </w:tcPr>
          <w:p w:rsidR="005B6435" w:rsidRDefault="005B6435">
            <w:pPr>
              <w:pStyle w:val="ConsPlusNormal"/>
              <w:jc w:val="center"/>
            </w:pPr>
            <w:r>
              <w:t>Наименование публичного партнера</w:t>
            </w:r>
          </w:p>
        </w:tc>
        <w:tc>
          <w:tcPr>
            <w:tcW w:w="1644" w:type="dxa"/>
          </w:tcPr>
          <w:p w:rsidR="005B6435" w:rsidRDefault="005B6435">
            <w:pPr>
              <w:pStyle w:val="ConsPlusNormal"/>
              <w:jc w:val="center"/>
            </w:pPr>
            <w:r>
              <w:t>Фамилия, имя и отчество (при наличии)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  <w:jc w:val="center"/>
            </w:pPr>
            <w:r>
              <w:t>Должность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  <w:jc w:val="center"/>
            </w:pPr>
            <w:r>
              <w:t>Номер контактного телефона</w:t>
            </w:r>
          </w:p>
        </w:tc>
        <w:tc>
          <w:tcPr>
            <w:tcW w:w="1471" w:type="dxa"/>
          </w:tcPr>
          <w:p w:rsidR="005B6435" w:rsidRDefault="005B6435">
            <w:pPr>
              <w:pStyle w:val="ConsPlusNormal"/>
              <w:jc w:val="center"/>
            </w:pPr>
            <w:r>
              <w:t>Адрес электронной почты</w:t>
            </w:r>
          </w:p>
        </w:tc>
      </w:tr>
      <w:tr w:rsidR="005B6435">
        <w:tc>
          <w:tcPr>
            <w:tcW w:w="340" w:type="dxa"/>
          </w:tcPr>
          <w:p w:rsidR="005B6435" w:rsidRDefault="005B643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61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361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644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47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340" w:type="dxa"/>
          </w:tcPr>
          <w:p w:rsidR="005B6435" w:rsidRDefault="005B643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61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361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644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47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340" w:type="dxa"/>
          </w:tcPr>
          <w:p w:rsidR="005B6435" w:rsidRDefault="005B6435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361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361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644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471" w:type="dxa"/>
          </w:tcPr>
          <w:p w:rsidR="005B6435" w:rsidRDefault="005B6435">
            <w:pPr>
              <w:pStyle w:val="ConsPlusNormal"/>
            </w:pPr>
          </w:p>
        </w:tc>
      </w:tr>
    </w:tbl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right"/>
        <w:outlineLvl w:val="1"/>
      </w:pPr>
      <w:r>
        <w:t>Приложение N 3</w:t>
      </w:r>
    </w:p>
    <w:p w:rsidR="005B6435" w:rsidRDefault="005B6435">
      <w:pPr>
        <w:pStyle w:val="ConsPlusNormal"/>
        <w:jc w:val="right"/>
      </w:pPr>
      <w:r>
        <w:t>к Порядку мониторинга реализации</w:t>
      </w:r>
    </w:p>
    <w:p w:rsidR="005B6435" w:rsidRDefault="005B6435">
      <w:pPr>
        <w:pStyle w:val="ConsPlusNormal"/>
        <w:jc w:val="right"/>
      </w:pPr>
      <w:r>
        <w:t xml:space="preserve">соглашений о </w:t>
      </w:r>
      <w:proofErr w:type="gramStart"/>
      <w:r>
        <w:t>государственно-частном</w:t>
      </w:r>
      <w:proofErr w:type="gramEnd"/>
    </w:p>
    <w:p w:rsidR="005B6435" w:rsidRDefault="005B6435">
      <w:pPr>
        <w:pStyle w:val="ConsPlusNormal"/>
        <w:jc w:val="right"/>
      </w:pPr>
      <w:proofErr w:type="gramStart"/>
      <w:r>
        <w:t>партнерстве</w:t>
      </w:r>
      <w:proofErr w:type="gramEnd"/>
      <w:r>
        <w:t>, соглашений</w:t>
      </w:r>
    </w:p>
    <w:p w:rsidR="005B6435" w:rsidRDefault="005B6435">
      <w:pPr>
        <w:pStyle w:val="ConsPlusNormal"/>
        <w:jc w:val="right"/>
      </w:pPr>
      <w:r>
        <w:t xml:space="preserve">о </w:t>
      </w:r>
      <w:proofErr w:type="spellStart"/>
      <w:r>
        <w:t>муниципально</w:t>
      </w:r>
      <w:proofErr w:type="spellEnd"/>
      <w:r>
        <w:t>-частном партнерстве,</w:t>
      </w:r>
    </w:p>
    <w:p w:rsidR="005B6435" w:rsidRDefault="005B6435">
      <w:pPr>
        <w:pStyle w:val="ConsPlusNormal"/>
        <w:jc w:val="right"/>
      </w:pPr>
      <w:proofErr w:type="gramStart"/>
      <w:r>
        <w:t>утвержденному</w:t>
      </w:r>
      <w:proofErr w:type="gramEnd"/>
      <w:r>
        <w:t xml:space="preserve"> приказом</w:t>
      </w:r>
    </w:p>
    <w:p w:rsidR="005B6435" w:rsidRDefault="005B6435">
      <w:pPr>
        <w:pStyle w:val="ConsPlusNormal"/>
        <w:jc w:val="right"/>
      </w:pPr>
      <w:r>
        <w:t>Минэкономразвития России</w:t>
      </w:r>
    </w:p>
    <w:p w:rsidR="005B6435" w:rsidRDefault="005B6435">
      <w:pPr>
        <w:pStyle w:val="ConsPlusNormal"/>
        <w:jc w:val="right"/>
      </w:pPr>
      <w:r>
        <w:t>от 02.02.2021 г. N 40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right"/>
      </w:pPr>
      <w:r>
        <w:lastRenderedPageBreak/>
        <w:t>Рекомендуемый образец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center"/>
      </w:pPr>
      <w:bookmarkStart w:id="9" w:name="P176"/>
      <w:bookmarkEnd w:id="9"/>
      <w:r>
        <w:t>РЕЗУЛЬТАТЫ</w:t>
      </w:r>
    </w:p>
    <w:p w:rsidR="005B6435" w:rsidRDefault="005B6435">
      <w:pPr>
        <w:pStyle w:val="ConsPlusNormal"/>
        <w:jc w:val="center"/>
      </w:pPr>
      <w:r>
        <w:t xml:space="preserve">мониторинга реализации соглашений о </w:t>
      </w:r>
      <w:proofErr w:type="gramStart"/>
      <w:r>
        <w:t>государственно-частном</w:t>
      </w:r>
      <w:proofErr w:type="gramEnd"/>
    </w:p>
    <w:p w:rsidR="005B6435" w:rsidRDefault="005B6435">
      <w:pPr>
        <w:pStyle w:val="ConsPlusNormal"/>
        <w:jc w:val="center"/>
      </w:pPr>
      <w:proofErr w:type="gramStart"/>
      <w:r>
        <w:t>партнерстве</w:t>
      </w:r>
      <w:proofErr w:type="gramEnd"/>
      <w:r>
        <w:t xml:space="preserve">, соглашений о </w:t>
      </w:r>
      <w:proofErr w:type="spellStart"/>
      <w:r>
        <w:t>муниципально</w:t>
      </w:r>
      <w:proofErr w:type="spellEnd"/>
      <w:r>
        <w:t>-частном партнерстве</w:t>
      </w:r>
    </w:p>
    <w:p w:rsidR="005B6435" w:rsidRDefault="005B6435">
      <w:pPr>
        <w:pStyle w:val="ConsPlusNormal"/>
        <w:jc w:val="center"/>
      </w:pPr>
      <w:r>
        <w:t>за 20__ год</w:t>
      </w:r>
    </w:p>
    <w:p w:rsidR="005B6435" w:rsidRDefault="005B643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6"/>
        <w:gridCol w:w="7029"/>
        <w:gridCol w:w="1474"/>
      </w:tblGrid>
      <w:tr w:rsidR="005B6435">
        <w:tc>
          <w:tcPr>
            <w:tcW w:w="566" w:type="dxa"/>
          </w:tcPr>
          <w:p w:rsidR="005B6435" w:rsidRDefault="005B6435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  <w:jc w:val="center"/>
            </w:pPr>
            <w:r>
              <w:t>Значение показателя</w:t>
            </w: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>Количество принятых в отчетном году решений о реализации проекта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>Количество конкурсов на право заключения соглашения, проведенных в отчетном году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7029" w:type="dxa"/>
            <w:vAlign w:val="center"/>
          </w:tcPr>
          <w:p w:rsidR="005B6435" w:rsidRDefault="005B6435">
            <w:pPr>
              <w:pStyle w:val="ConsPlusNormal"/>
              <w:jc w:val="both"/>
            </w:pPr>
            <w:r>
              <w:t>Количество конкурсов на право заключения соглашения, проведенных в отчетном году и признанных несостоявшимися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>Количество конкурсов на право заключения соглашения, проведенных в отчетном году и признанных состоявшимися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>Количество заключенных в отчетном году соглашений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>Количество заключенных в отчетном году соглашений по инициативе лиц, выступивших с предложением о реализации проекта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>Количество соглашений на стадии создания (реконструкции) объекта по состоянию на последний день отчетного года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>Количество соглашений на стадии эксплуатации и (или) технического обслуживания объекта по состоянию на последний день отчетного года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>Количество соглашений, завершенных по истечении срока действия по состоянию на последний день отчетного года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>Средний срок проведения в отчетном году конкурсов на право заключения соглашения (в случае проведения совместного конкурса - соглашений)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 xml:space="preserve">Средний срок заключения соглашений, заключенных в отчетном году (период </w:t>
            </w:r>
            <w:proofErr w:type="gramStart"/>
            <w:r>
              <w:t>с даты принятия</w:t>
            </w:r>
            <w:proofErr w:type="gramEnd"/>
            <w:r>
              <w:t xml:space="preserve"> решения о реализации проекта до даты подписания соглашения сторонами соглашения)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>Объем финансирования на стадии создания (реконструкции) объекта за счет всех источников по соглашениям, заключенным в отчетном году, тыс. рублей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>Объем финансирования на стадии создания (реконструкции) объекта за счет внебюджетных источников по соглашениям, заключенным в отчетном году, тыс. рублей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>Объем финансирования на стадии создания (реконструкции) объекта за счет средств бюджетов бюджетной системы Российской Федерации по соглашениям, заключенным в отчетном году, тыс. рублей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566" w:type="dxa"/>
            <w:vAlign w:val="center"/>
          </w:tcPr>
          <w:p w:rsidR="005B6435" w:rsidRDefault="005B6435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7029" w:type="dxa"/>
          </w:tcPr>
          <w:p w:rsidR="005B6435" w:rsidRDefault="005B6435">
            <w:pPr>
              <w:pStyle w:val="ConsPlusNormal"/>
              <w:jc w:val="both"/>
            </w:pPr>
            <w:r>
              <w:t xml:space="preserve">Объем финансирования на стадии эксплуатации и (или) технического </w:t>
            </w:r>
            <w:r>
              <w:lastRenderedPageBreak/>
              <w:t>обслуживания объекта за счет средств бюджетов бюджетной системы Российской Федерации по соглашениям, заключенным в отчетном году, тыс. рублей</w:t>
            </w:r>
          </w:p>
        </w:tc>
        <w:tc>
          <w:tcPr>
            <w:tcW w:w="1474" w:type="dxa"/>
          </w:tcPr>
          <w:p w:rsidR="005B6435" w:rsidRDefault="005B6435">
            <w:pPr>
              <w:pStyle w:val="ConsPlusNormal"/>
            </w:pPr>
          </w:p>
        </w:tc>
      </w:tr>
    </w:tbl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right"/>
        <w:outlineLvl w:val="1"/>
      </w:pPr>
      <w:r>
        <w:t>Приложение N 4</w:t>
      </w:r>
    </w:p>
    <w:p w:rsidR="005B6435" w:rsidRDefault="005B6435">
      <w:pPr>
        <w:pStyle w:val="ConsPlusNormal"/>
        <w:jc w:val="right"/>
      </w:pPr>
      <w:r>
        <w:t>к Порядку мониторинга реализации</w:t>
      </w:r>
    </w:p>
    <w:p w:rsidR="005B6435" w:rsidRDefault="005B6435">
      <w:pPr>
        <w:pStyle w:val="ConsPlusNormal"/>
        <w:jc w:val="right"/>
      </w:pPr>
      <w:r>
        <w:t xml:space="preserve">соглашений о </w:t>
      </w:r>
      <w:proofErr w:type="gramStart"/>
      <w:r>
        <w:t>государственно-частном</w:t>
      </w:r>
      <w:proofErr w:type="gramEnd"/>
    </w:p>
    <w:p w:rsidR="005B6435" w:rsidRDefault="005B6435">
      <w:pPr>
        <w:pStyle w:val="ConsPlusNormal"/>
        <w:jc w:val="right"/>
      </w:pPr>
      <w:proofErr w:type="gramStart"/>
      <w:r>
        <w:t>партнерстве</w:t>
      </w:r>
      <w:proofErr w:type="gramEnd"/>
      <w:r>
        <w:t>, соглашений</w:t>
      </w:r>
    </w:p>
    <w:p w:rsidR="005B6435" w:rsidRDefault="005B6435">
      <w:pPr>
        <w:pStyle w:val="ConsPlusNormal"/>
        <w:jc w:val="right"/>
      </w:pPr>
      <w:r>
        <w:t xml:space="preserve">о </w:t>
      </w:r>
      <w:proofErr w:type="spellStart"/>
      <w:r>
        <w:t>муниципально</w:t>
      </w:r>
      <w:proofErr w:type="spellEnd"/>
      <w:r>
        <w:t>-частном партнерстве,</w:t>
      </w:r>
    </w:p>
    <w:p w:rsidR="005B6435" w:rsidRDefault="005B6435">
      <w:pPr>
        <w:pStyle w:val="ConsPlusNormal"/>
        <w:jc w:val="right"/>
      </w:pPr>
      <w:proofErr w:type="gramStart"/>
      <w:r>
        <w:t>утвержденному</w:t>
      </w:r>
      <w:proofErr w:type="gramEnd"/>
      <w:r>
        <w:t xml:space="preserve"> приказом</w:t>
      </w:r>
    </w:p>
    <w:p w:rsidR="005B6435" w:rsidRDefault="005B6435">
      <w:pPr>
        <w:pStyle w:val="ConsPlusNormal"/>
        <w:jc w:val="right"/>
      </w:pPr>
      <w:r>
        <w:t>Минэкономразвития России</w:t>
      </w:r>
    </w:p>
    <w:p w:rsidR="005B6435" w:rsidRDefault="005B6435">
      <w:pPr>
        <w:pStyle w:val="ConsPlusNormal"/>
        <w:jc w:val="right"/>
      </w:pPr>
      <w:r>
        <w:t>от 02.02.2021 г. N 40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right"/>
      </w:pPr>
      <w:r>
        <w:t>Рекомендуемый образец</w:t>
      </w: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center"/>
      </w:pPr>
      <w:bookmarkStart w:id="10" w:name="P245"/>
      <w:bookmarkEnd w:id="10"/>
      <w:r>
        <w:t>РЕЗУЛЬТАТЫ</w:t>
      </w:r>
    </w:p>
    <w:p w:rsidR="005B6435" w:rsidRDefault="005B6435">
      <w:pPr>
        <w:pStyle w:val="ConsPlusNormal"/>
        <w:jc w:val="center"/>
      </w:pPr>
      <w:r>
        <w:t>мониторинга соглашения о государственно-частном партнерстве,</w:t>
      </w:r>
    </w:p>
    <w:p w:rsidR="005B6435" w:rsidRDefault="005B6435">
      <w:pPr>
        <w:pStyle w:val="ConsPlusNormal"/>
        <w:jc w:val="center"/>
      </w:pPr>
      <w:r>
        <w:t xml:space="preserve">соглашения о </w:t>
      </w:r>
      <w:proofErr w:type="spellStart"/>
      <w:r>
        <w:t>муниципально</w:t>
      </w:r>
      <w:proofErr w:type="spellEnd"/>
      <w:r>
        <w:t>-частном партнерстве на предмет</w:t>
      </w:r>
    </w:p>
    <w:p w:rsidR="005B6435" w:rsidRDefault="005B6435">
      <w:pPr>
        <w:pStyle w:val="ConsPlusNormal"/>
        <w:jc w:val="center"/>
      </w:pPr>
      <w:r>
        <w:t>соблюдения сторонами обязательств по достижению целевых</w:t>
      </w:r>
    </w:p>
    <w:p w:rsidR="005B6435" w:rsidRDefault="005B6435">
      <w:pPr>
        <w:pStyle w:val="ConsPlusNormal"/>
        <w:jc w:val="center"/>
      </w:pPr>
      <w:r>
        <w:t>показателей, содержащихся в таком соглашении, сроков</w:t>
      </w:r>
    </w:p>
    <w:p w:rsidR="005B6435" w:rsidRDefault="005B6435">
      <w:pPr>
        <w:pStyle w:val="ConsPlusNormal"/>
        <w:jc w:val="center"/>
      </w:pPr>
      <w:r>
        <w:t>их реализации, объема привлекаемых инвестиций</w:t>
      </w:r>
    </w:p>
    <w:p w:rsidR="005B6435" w:rsidRDefault="005B6435">
      <w:pPr>
        <w:pStyle w:val="ConsPlusNormal"/>
        <w:jc w:val="center"/>
      </w:pPr>
      <w:r>
        <w:t>и иных существенных условий такого соглашения</w:t>
      </w:r>
    </w:p>
    <w:p w:rsidR="005B6435" w:rsidRDefault="005B643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066"/>
        <w:gridCol w:w="1417"/>
        <w:gridCol w:w="1531"/>
      </w:tblGrid>
      <w:tr w:rsidR="005B6435">
        <w:tc>
          <w:tcPr>
            <w:tcW w:w="6066" w:type="dxa"/>
          </w:tcPr>
          <w:p w:rsidR="005B6435" w:rsidRDefault="005B6435">
            <w:pPr>
              <w:pStyle w:val="ConsPlusNormal"/>
              <w:jc w:val="center"/>
            </w:pPr>
            <w:r>
              <w:t>Целевой показатель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  <w:jc w:val="center"/>
            </w:pPr>
            <w:r>
              <w:t>Плановое значение целевого показателя</w:t>
            </w:r>
          </w:p>
        </w:tc>
        <w:tc>
          <w:tcPr>
            <w:tcW w:w="1531" w:type="dxa"/>
          </w:tcPr>
          <w:p w:rsidR="005B6435" w:rsidRDefault="005B6435">
            <w:pPr>
              <w:pStyle w:val="ConsPlusNormal"/>
              <w:jc w:val="center"/>
            </w:pPr>
            <w:r>
              <w:t>Фактически достигнутое значение целевого показателя</w:t>
            </w:r>
          </w:p>
        </w:tc>
      </w:tr>
      <w:tr w:rsidR="005B6435">
        <w:tc>
          <w:tcPr>
            <w:tcW w:w="6066" w:type="dxa"/>
          </w:tcPr>
          <w:p w:rsidR="005B6435" w:rsidRDefault="005B6435">
            <w:pPr>
              <w:pStyle w:val="ConsPlusNormal"/>
            </w:pPr>
            <w:r>
              <w:t>Срок действия соглашения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53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6066" w:type="dxa"/>
          </w:tcPr>
          <w:p w:rsidR="005B6435" w:rsidRDefault="005B6435">
            <w:pPr>
              <w:pStyle w:val="ConsPlusNormal"/>
            </w:pPr>
            <w:r>
              <w:t>Срок проведения конкурса на право заключения соглашения (при наличии)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53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6066" w:type="dxa"/>
          </w:tcPr>
          <w:p w:rsidR="005B6435" w:rsidRDefault="005B6435">
            <w:pPr>
              <w:pStyle w:val="ConsPlusNormal"/>
            </w:pPr>
            <w:r>
              <w:t xml:space="preserve">Срок заключения соглашения (период </w:t>
            </w:r>
            <w:proofErr w:type="gramStart"/>
            <w:r>
              <w:t>с даты принятия</w:t>
            </w:r>
            <w:proofErr w:type="gramEnd"/>
            <w:r>
              <w:t xml:space="preserve"> решения о реализации проекта до даты подписания соглашения сторонами соглашения)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53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6066" w:type="dxa"/>
          </w:tcPr>
          <w:p w:rsidR="005B6435" w:rsidRDefault="005B6435">
            <w:pPr>
              <w:pStyle w:val="ConsPlusNormal"/>
            </w:pPr>
            <w:r>
              <w:t>Статус заключения и реализации соглашения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53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6066" w:type="dxa"/>
          </w:tcPr>
          <w:p w:rsidR="005B6435" w:rsidRDefault="005B6435">
            <w:pPr>
              <w:pStyle w:val="ConsPlusNormal"/>
            </w:pPr>
            <w:r>
              <w:t>Срок проектирования объекта (если предусматривается)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53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6066" w:type="dxa"/>
          </w:tcPr>
          <w:p w:rsidR="005B6435" w:rsidRDefault="005B6435">
            <w:pPr>
              <w:pStyle w:val="ConsPlusNormal"/>
            </w:pPr>
            <w:r>
              <w:t>Срок создания (реконструкции) объекта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53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6066" w:type="dxa"/>
          </w:tcPr>
          <w:p w:rsidR="005B6435" w:rsidRDefault="005B6435">
            <w:pPr>
              <w:pStyle w:val="ConsPlusNormal"/>
            </w:pPr>
            <w:r>
              <w:t>Дата ввода объекта в эксплуатацию и (или) начало его технического обслуживания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53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6066" w:type="dxa"/>
          </w:tcPr>
          <w:p w:rsidR="005B6435" w:rsidRDefault="005B6435">
            <w:pPr>
              <w:pStyle w:val="ConsPlusNormal"/>
            </w:pPr>
            <w:r>
              <w:t>Срок эксплуатации и (или) технического обслуживания объекта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53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6066" w:type="dxa"/>
          </w:tcPr>
          <w:p w:rsidR="005B6435" w:rsidRDefault="005B6435">
            <w:pPr>
              <w:pStyle w:val="ConsPlusNormal"/>
            </w:pPr>
            <w:r>
              <w:lastRenderedPageBreak/>
              <w:t>Объем финансирования на стадии создания (реконструкции) объекта за счет всех источников, тыс. рублей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53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6066" w:type="dxa"/>
          </w:tcPr>
          <w:p w:rsidR="005B6435" w:rsidRDefault="005B6435">
            <w:pPr>
              <w:pStyle w:val="ConsPlusNormal"/>
            </w:pPr>
            <w:r>
              <w:t>Объем финансирования на стадии создания (реконструкции) объекта за счет средств бюджетов бюджетной системы Российской Федерации, тыс. рублей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53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6066" w:type="dxa"/>
          </w:tcPr>
          <w:p w:rsidR="005B6435" w:rsidRDefault="005B6435">
            <w:pPr>
              <w:pStyle w:val="ConsPlusNormal"/>
            </w:pPr>
            <w:r>
              <w:t>Объем финансирования на стадии создания (реконструкции) объекта за счет собственных средств частного партнера, тыс. рублей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53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6066" w:type="dxa"/>
          </w:tcPr>
          <w:p w:rsidR="005B6435" w:rsidRDefault="005B6435">
            <w:pPr>
              <w:pStyle w:val="ConsPlusNormal"/>
            </w:pPr>
            <w:r>
              <w:t>Объем финансирования создания (реконструкции) объекта за счет заемных средств, тыс. рублей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531" w:type="dxa"/>
          </w:tcPr>
          <w:p w:rsidR="005B6435" w:rsidRDefault="005B6435">
            <w:pPr>
              <w:pStyle w:val="ConsPlusNormal"/>
            </w:pPr>
          </w:p>
        </w:tc>
      </w:tr>
      <w:tr w:rsidR="005B6435">
        <w:tc>
          <w:tcPr>
            <w:tcW w:w="6066" w:type="dxa"/>
          </w:tcPr>
          <w:p w:rsidR="005B6435" w:rsidRDefault="005B6435">
            <w:pPr>
              <w:pStyle w:val="ConsPlusNormal"/>
            </w:pPr>
            <w:r>
              <w:t>Объем финансирования на стадии эксплуатации и (или) технического обслуживания объекта за счет средств бюджетов бюджетной системы Российской Федерации, тыс. рублей</w:t>
            </w:r>
          </w:p>
        </w:tc>
        <w:tc>
          <w:tcPr>
            <w:tcW w:w="1417" w:type="dxa"/>
          </w:tcPr>
          <w:p w:rsidR="005B6435" w:rsidRDefault="005B6435">
            <w:pPr>
              <w:pStyle w:val="ConsPlusNormal"/>
            </w:pPr>
          </w:p>
        </w:tc>
        <w:tc>
          <w:tcPr>
            <w:tcW w:w="1531" w:type="dxa"/>
          </w:tcPr>
          <w:p w:rsidR="005B6435" w:rsidRDefault="005B6435">
            <w:pPr>
              <w:pStyle w:val="ConsPlusNormal"/>
            </w:pPr>
          </w:p>
        </w:tc>
      </w:tr>
    </w:tbl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jc w:val="both"/>
      </w:pPr>
    </w:p>
    <w:p w:rsidR="005B6435" w:rsidRDefault="005B6435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95546" w:rsidRDefault="00295546"/>
    <w:sectPr w:rsidR="00295546" w:rsidSect="00090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35"/>
    <w:rsid w:val="00295546"/>
    <w:rsid w:val="005B6435"/>
    <w:rsid w:val="00C70818"/>
    <w:rsid w:val="00E7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B6435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5B6435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5B6435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B6435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5B6435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5B6435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DF7DF1E225AF01FED69F4CEBE21FE330D8108113ADCCCCC16EF5B75A2C5E3C19B02D5F95953887F2D42CF5A6576GC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DF7DF1E225AF01FED69F4CEBE21FE33088C09163DDBCCCC16EF5B75A2C5E3C189028DF75B549D2B751898576769032E564F45563A76GE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DF7DF1E225AF01FED69F4CEBE21FE33088C09163DDBCCCC16EF5B75A2C5E3C189028DF151529D2B751898576769032E564F45563A76GEM" TargetMode="External"/><Relationship Id="rId11" Type="http://schemas.openxmlformats.org/officeDocument/2006/relationships/hyperlink" Target="consultantplus://offline/ref=FDF7DF1E225AF01FED69F4CEBE21FE33088B0F173DDECCCC16EF5B75A2C5E3C189028DF55955947F2357990B233A102E594F475F266FC7A477G8M" TargetMode="External"/><Relationship Id="rId5" Type="http://schemas.openxmlformats.org/officeDocument/2006/relationships/hyperlink" Target="consultantplus://offline/ref=FDF7DF1E225AF01FED69F4CEBE21FE33088B0F173DDECCCC16EF5B75A2C5E3C189028DF5595594772D57990B233A102E594F475F266FC7A477G8M" TargetMode="External"/><Relationship Id="rId10" Type="http://schemas.openxmlformats.org/officeDocument/2006/relationships/hyperlink" Target="consultantplus://offline/ref=FDF7DF1E225AF01FED69F4CEBE21FE33088D0D163FDECCCC16EF5B75A2C5E3C189028DF55955967C2757990B233A102E594F475F266FC7A477G8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DF7DF1E225AF01FED69F4CEBE21FE33088B0F173DDECCCC16EF5B75A2C5E3C189028DF5595597782757990B233A102E594F475F266FC7A477G8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3762</Words>
  <Characters>21450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2</cp:revision>
  <dcterms:created xsi:type="dcterms:W3CDTF">2024-01-19T14:01:00Z</dcterms:created>
  <dcterms:modified xsi:type="dcterms:W3CDTF">2024-01-19T14:01:00Z</dcterms:modified>
</cp:coreProperties>
</file>