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Требования 152-ФЗ к организации Kars Avia</w:t>
      </w:r>
    </w:p>
    <w:p>
      <w:r>
        <w:t xml:space="preserve">Kars Avia · ред. от 07.10.2026 · документ 3 из 3</w:t>
      </w:r>
    </w:p>
    <w:p>
      <w:r>
        <w:t xml:space="preserve">Для руководства и ответственного за обработку персональных данных (ПДн): что закон требует от организации, а не от программы; доработки систем — в документах 1 (текущая система) и 2 (новая система и Kars Hotel PMS).</w:t>
      </w:r>
    </w:p>
    <w:p>
      <w:r>
        <w:t xml:space="preserve">Как пользоваться. Отметьте по каждой строке «есть / нет / частично» с реквизитами документа; раздел А — первым. Внутренние документы компании в материалах проверки не представлены — до отметки они не подтверждены. Рук. — руководитель, Отв. — ответственный за ПДн (до назначения — Рук.), Юр. — юрист, ИТ — администратор серверов, Бух. — бухгалтерия, Кадры — кадровая служба, АК — авиакомпания, РКН — Роскомнадзор; Р-N — решение руководства: принимается в строке, где «Р-N» стоит в тексте, в «Основании» — строки, которые от него зависят; «ПДН …» — пункт чеклиста мер аудита; «прил. N» — черновик из приложений к правовому анализу аудита.</w:t>
      </w:r>
    </w:p>
    <w:p>
      <w:r>
        <w:t xml:space="preserve">Основания: 152-ФЗ «О персональных данных»; ПП РФ № 1119 и № 687; приказ ФСТЭК № 21; приказы Роскомнадзора № 18, 128, 178, 179, 187; ТК РФ ст. 86–90; КоАП РФ ст. 13.11; УК РФ ст. 272.1; ФАП-82; 187-ФЗ; 109-ФЗ.</w:t>
      </w:r>
    </w:p>
    <w:p>
      <w:pPr>
        <w:pStyle w:val="Heading1"/>
      </w:pPr>
      <w:r>
        <w:t xml:space="preserve">А. Срочно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7"/>
        <w:gridCol w:w="2698"/>
        <w:gridCol w:w="1542"/>
        <w:gridCol w:w="963"/>
      </w:tblGrid>
      <w:tr>
        <w:trPr>
          <w:cantSplit/>
          <w:tblHeader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Что должно быть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Как проверить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Основание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Отметка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А.1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Запись № 23-24-029531 от 06.12.2024 в реестре операторов — на юрлице-операторе; у юрлица, ведущего Kars Hotel PMS или новую систему, — своя запись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Выписка по ИНН на pd.rkn.gov.ru — Отв., Юр.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22 · ПДН К-04 · Р-5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А.2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Приказом назначены ответственные за организацию обработки ПДн и за безопасность ПДн в системе (второй обязателен при третьем уровне защищённости); рекомендуется заместитель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Подписанный приказ — Рук.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22.1; ПП № 1119 п. 14 · ПДН К-01, Е-35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А.3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Принято и записано решение «инцидент / не инцидент» с обоснованием по случаям из отдельной записки и из оценки команды v3 по новой системе и PMS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Записка Отв. за подписью Рук.; при «инцидент» — квитанции уведомлений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ч. 3.1 ст. 21 · ПДН Ж-01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А.4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Компьютеры с копиями баз и файлами с данными людей зашифрованы и внесены в журнал носителей с ответственным и датой уничтожения; ключи и пароли к серверам — в менеджере паролей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Журнал носителей (что, чьи данные, кто отвечает, когда уничтожается), статус шифрования — Отв., ИТ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19 ч. 2 · ПДН Е-48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А.5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Домен karsavia.ru продлён (по оценке команды v3 оплачен до 21.11.2026) и верифицирован; администратор домена — юрлицо, а не физлицо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Кабинет регистратора: срок оплаты, верификация, администратор — Рук.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Непрерывность работы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А.6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Второй фактор и два администратора — на учётных записях хостинга (Yandex Cloud, «Бегет»), регистратора, почты, GitHub, YouGile, Google Firebase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Настройки каждой учётной записи — ИТ, Отв.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19 · ПДН Е-47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</w:p>
        </w:tc>
      </w:tr>
    </w:tbl>
    <w:p>
      <w:pPr>
        <w:spacing w:after="60" w:before="0" w:line="120"/>
        <w:rPr>
          <w:sz w:val="8"/>
          <w:szCs w:val="8"/>
        </w:rPr>
      </w:pPr>
    </w:p>
    <w:p>
      <w:pPr>
        <w:pStyle w:val="Heading1"/>
      </w:pPr>
      <w:r>
        <w:t xml:space="preserve">Б. Ответственные и внутренние документы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7"/>
        <w:gridCol w:w="2698"/>
        <w:gridCol w:w="1542"/>
        <w:gridCol w:w="963"/>
      </w:tblGrid>
      <w:tr>
        <w:trPr>
          <w:cantSplit/>
          <w:tblHeader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Что должно быть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Как проверить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Основание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Отметка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Б.1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Р-5. Принято и записано решение об операторе (И.1): (а) ООО «KarsAvia», ООО «КАРС АВИА», ООО «Карс.А.» — одно лицо / (б) разные — оператор выбран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Решение Рук.; наименование в политике, на сайте, в договорах и реестре РКН — по выписке ЕГРЮЛ — Юр.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18.1, 22 · ПДН К-13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Б.2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Р-7. Утверждена политика (прил. 1) и опубликована со сведениями о защите: компания — оператор и обработчик для АК; ответ — 10 рабочих дней; без «согласия фактом использования» и «данные младше 18 лет не собираются»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Приказ; текст передан разработке, публикация — док. 1 З.1 — Юр., Отв.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18.1 · ПДН К-03, Б-01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Б.3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Утверждено положение об обработке ПДн по реестру обработок (разд. 3.2 правового анализа): по целям — чьи данные, какие, основание, срок, уничтожение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Приказ; не меньше 8 обработок для АК и 10 своих, плюс кадровая, новой системы и PMS — Отв., Юр.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18.1 · ПДН К-02, А-02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Б.4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Р-6. Выбраны основания, где компания — оператор: (а) договор / (б) законный интерес с письменной оценкой / (в) согласие (прил. 3, 4); решено, оставить ли самостоятельную регистрацию водителей (Р-17) и канал заявок с сайта (Р-22)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Перечень «цель — основание»; рекомендуется: учётные записи — (б), водители-ИП — (а), заявки с сайта — (б) или (в) — Юр.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6, 9 · ПДН А-03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Б.5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Р-1. Принято и записано решение о сроках хранения: (а) из политики — учётные записи 30 дней после удаления, журналы 12 месяцев, прочее по договорам с АК и бухучёту / (б) все сроки заново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Приказ о сроках: заявки, переписка, брони, документы водителей, учётные записи, журналы, копии, почта, архив текущей системы — Рук.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5 ч. 7 · ПДН Г-01 · Р-12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Б.6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Утверждены порядок уничтожения ПДн (база, файлы, копии, почта), форма акта (акты — 3 года) и заключение юриста, нужно ли для этого средство защиты (Р-24)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Приказ, форма акта, заключение — Отв., Юр.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Приказ РКН № 179 · ПДН Г-11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Б.7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Р-2. Принято и записано решение по таблице прав ролей (проект — команда разработки): (а) утвердить с правками, перечень лиц по ней / (б) не утверждать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Подписанная таблица — Рук.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ПП № 1119 · ПДН Е-10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Б.8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Утверждён перечень лиц с доступом к ПДн, серверам и базам (сотрудники, разработчики, подрядчики); доступ отключается в день увольнения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Приказ; сверка с учётными записями — Кадры, ИТ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ПП № 1119 · ПДН Е-35, Е-21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Б.9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Допущенные подписали обязательство о неразглашении (выгрузки — не в личные мессенджеры и почту) и ежегодно знакомятся под роспись с законом, актами, ст. 272.1 УК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Обязательства, листы ознакомления; у подрядчиков — пункт в договоре — Кадры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7, 18.1 · ПДН К-05, Д-19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Б.10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Подписаны акт оценки вреда, модель угроз, акт уровня защищённости (Р-10: третий, если фото водителя — биометрия или есть данные о здоровье, иначе четвёртый), перечень мер с решением о сертифицированных средствах защиты (Р-21)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Документы; перечень событий безопасности и срок журналов (Р-13); в акте вреда — дети, Firebase, фото водителей — Отв.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ПП № 1119; приказ РКН № 178 · ПДН К-06, Е-32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Б.11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Утверждён регламент при нарушении безопасности: РКН — за 24 и 72 часа, АК — в срок поручения (Г.2); двое дежурных; учение раз в год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Регламент, список дежурных, протокол учения — Отв.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ч. 3.1 ст. 21; приказ РКН № 187 · ПДН Ж-02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Б.12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Утверждён порядок ответа людям: ящик запросов — в политике; сведения — 10 (+5), исправление и удаление — 3, 7 или 10 рабочих дней, отзыв согласия — 30 дней; запросы пассажиров и экипажей — в АК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Приказ, шаблоны, журнал с пробным запросом — Отв.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14, 20, 21 · ПДН В-02, В-03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Б.13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Утверждён порядок ответа Роскомнадзору (10 рабочих дней); собран комплект документов для Роскомнадзора и для АК, запрашивающих подтверждение мер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Регламент, датированный комплект — Отв., Юр.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6, 20 · ПДН К-08, К-09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Б.14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Утверждён план контроля (ежемесячные проверки, ежегодный аудит); новые функции с ПДн — после согласования с Отв.; решено, что снимают для распознавания, нужно ли оно водителям, обрабатываются ли паспорта (Р-18), будет ли и чей кабинет пассажира (Р-26)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План, записи о проверках; раздел о ПДн в техническом задании на каждую новую функцию (кабинет пассажира — прил. 5) — Отв.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18.1 · ПДН К-07, И-01…И-03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Б.15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Р-15. Решено, по кому ведётся учёт рабочего времени (рекомендуется — только работники компании); положение о ПДн работников охватывает систему; согласия диспетчеров на передачу контактов партнёрам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Решение, положение, локальный акт, согласия — Кадры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ТК РФ ст. 86–90 · ПДН К-12, А-12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Б.16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Подписаны решения Рук. о принятых рисках (по данным компании приняты): сеансы — сбросить при переходе на новую систему; уведомления — пересмотреть при новом способе показа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Решения за подписью Рук. — Отв.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19 · ПДН Е-03, Е-18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Б.17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Р-14, Р-23. Утверждён перечень заверений о защите данных — у каждого есть документ; решено, публикует ли компания ПДн людей (если да — согласия на распространение); ролевой ящик вместо почты с фамилией работника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Перечень; сейчас без документа: «полное соответствие 152-ФЗ», ISO/IEC 27001, реестр ПО, шифрование, полный журнал, «только в России» — Отв.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10.1; приказ РКН № 18 · ПДН З-01, З-08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Б.18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Р-19. Утверждены соглашение пользователя без принятия «фактом использования» и уведомление людей, заведённых администратором (прил. 4), или заверение контрагента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Тексты переданы разработке — Юр.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18 · ПДН А-05, Б-09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Б.19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Есть заключение юриста: является ли компания субъектом критической информационной инфраструктуры (ожидаемо — нет)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Заключение — Юр.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187-ФЗ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</w:p>
        </w:tc>
      </w:tr>
    </w:tbl>
    <w:p>
      <w:pPr>
        <w:spacing w:after="60" w:before="0" w:line="120"/>
        <w:rPr>
          <w:sz w:val="8"/>
          <w:szCs w:val="8"/>
        </w:rPr>
      </w:pPr>
    </w:p>
    <w:p>
      <w:pPr>
        <w:pStyle w:val="Heading1"/>
      </w:pPr>
      <w:r>
        <w:t xml:space="preserve">В. Роскомнадзор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7"/>
        <w:gridCol w:w="2698"/>
        <w:gridCol w:w="1542"/>
        <w:gridCol w:w="963"/>
      </w:tblGrid>
      <w:tr>
        <w:trPr>
          <w:cantSplit/>
          <w:tblHeader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Что должно быть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Как проверить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Основание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Отметка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В.1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Поданы изменения к записи № 23-24-029531 (если запись не на операторе — А.1): наименование, ответственный, водители, вход по ссылке, учёт активности, распознавание документов, Yandex Cloud (РФ), Firebase (США); далее — до 15-го числа следующего месяца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Квитанция; выписка из реестра совпадает с перечнем — Отв.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22 ч. 1, 7 · ПДН К-04 · Р-5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В.2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Р-3. Принято и записано решение по push-уведомлениям через Firebase (США): (а) оставить — уведомление о передаче за рубеж, пауза 10 рабочих дней, по экипажам — разрешения АК и их уведомления РКН / (б) российский сервис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Квитанция или решение с датой прекращения; уходят идентификаторы устройств, адреса трансфера, фрагменты чата — Рук., Юр.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12; приказ РКН № 128 · ПДН Д-02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В.3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По иностранным АК из списка (И.3) уведомление о передаче за рубеж подано до первой передачи данных — АК или компанией, как записано в поручении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Уведомление — Юр.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12 · ПДН Д-01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В.4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Вход на pd.rkn.gov.ru от имени юрлица с действующей электронной подписью проверен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Пробный вход — Рук., ИТ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Приказ РКН № 187 · ПДН Ж-02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</w:p>
        </w:tc>
      </w:tr>
    </w:tbl>
    <w:p>
      <w:pPr>
        <w:spacing w:after="60" w:before="0" w:line="120"/>
        <w:rPr>
          <w:sz w:val="8"/>
          <w:szCs w:val="8"/>
        </w:rPr>
      </w:pPr>
    </w:p>
    <w:p>
      <w:pPr>
        <w:pStyle w:val="Heading1"/>
      </w:pPr>
      <w:r>
        <w:t xml:space="preserve">Г. Договоры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7"/>
        <w:gridCol w:w="2698"/>
        <w:gridCol w:w="1542"/>
        <w:gridCol w:w="963"/>
      </w:tblGrid>
      <w:tr>
        <w:trPr>
          <w:cantSplit/>
          <w:tblHeader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Что должно быть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Как проверить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Основание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Отметка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Г.1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С каждой АК подписано поручение (прил. 6): данные, действия, цели, люди, включая детей, получатели, хранение в РФ; до него списки не загружаются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Получатели: гостиницы, перевозчики, Yandex Cloud, «Бегет», TravelLine, Яндекс Карты, Firebase — Юр.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6 ч. 3; ФАП-82 п. 99 · ПДН А-01, Д-03 · Р-3, Р-4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Г.2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Там же: срок хранения; уведомление АК о нарушении — до 6 часов (у АК — 24 часа); возврат или уничтожение данных с актом; заверения АК о согласии экипажа и основании передать данные пассажиров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Текст поручения — Юр.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6 ч. 3; ТК РФ ст. 88 · ПДН Ж-03, Б-08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Г.3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Р-4. Принято и записано решение по обработке сверх поручения АК (аналитика по сотрудникам АК, распознавание документов): (а) вписать в поручение / (б) отключить для этой АК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Решение по каждой АК, включая контакты экипажа в TravelLine и адрес багажа в Яндекс Картах — Юр.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6 ч. 3 · ПДН А-06 · Р-18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Г.4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Р-11. Принято и записано решение по исходным спискам пассажиров (с паспортами): (а) АК не требует — не хранить, старые удалить / (б) требует письменно — с автоудалением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Письменные ответы АК — Юр.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5 · ПДН А-07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Г.5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В договорах с гостиницами, перевозчиками, водителями: конфиденциальность, данные только для услуги, сообщение об утечке, право передать данные работников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Шаблоны и договоры; у перевозчиков — уничтожение списков после поездки — Юр.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6, 7; ТК РФ ст. 88 · ПДН Д-05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Г.6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Утверждён реестр получателей ПДн; с каждым сервисом — договор или оферта с поручением: конфиденциальность, место обработки, сообщение об утечке; иначе сервис заменён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Реестр: Yandex Cloud, «Бегет», почта VK, TravelLine, Яндекс Карты, Firebase, хостер сайта, Telegram (новая система) — Юр.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6 ч. 3, ст. 18 ч. 5 · ПДН Д-01, Д-04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Г.7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Есть ответ юриста: кто принимающая сторона по миграционному учёту иностранных членов экипажа в апартаментах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Ответ — Юр.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109-ФЗ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</w:p>
        </w:tc>
      </w:tr>
    </w:tbl>
    <w:p>
      <w:pPr>
        <w:spacing w:after="60" w:before="0" w:line="120"/>
        <w:rPr>
          <w:sz w:val="8"/>
          <w:szCs w:val="8"/>
        </w:rPr>
      </w:pPr>
    </w:p>
    <w:p>
      <w:pPr>
        <w:pStyle w:val="Heading1"/>
      </w:pPr>
      <w:r>
        <w:t xml:space="preserve">Д. Учётные записи, почта, копии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7"/>
        <w:gridCol w:w="2698"/>
        <w:gridCol w:w="1542"/>
        <w:gridCol w:w="963"/>
      </w:tblGrid>
      <w:tr>
        <w:trPr>
          <w:cantSplit/>
          <w:tblHeader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Что должно быть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Как проверить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Основание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Отметка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Д.1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Учётные записи хостинга, домена, почты, GitHub, YouGile, облаков — на юрлице; к облаку, серверам и репозиториям — только именные учётные записи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Владелец в каждом кабинете; список за подписью ИТ — Рук.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Приказ ФСТЭК № 21 · ПДН Е-47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Д.2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Почта домена защищена от подделки: SPF, DKIM, DMARC у почтового провайдера в РФ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Проверка записей домена — ИТ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19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Д.3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Р-12. Решено, сколько хранятся резервные копии и где — в РФ вне основного сервера; с хранилищем — договор с поручением; ключ — у двух человек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Решение Рук., договор; справка ИТ о регионе базы, копий, почты (шифрование — док. 1, 2) — ИТ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18 ч. 5, ст. 19 · ПДН Д-06, Е-27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Д.4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Есть реестр адресов и сервисов компании (сайты, серверы, облака) с владельцем и назначением; ненужное выключено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Утверждённый реестр — ИТ, Отв.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ПП № 1119 · ПДН Е-45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</w:p>
        </w:tc>
      </w:tr>
    </w:tbl>
    <w:p>
      <w:pPr>
        <w:spacing w:after="60" w:before="0" w:line="120"/>
        <w:rPr>
          <w:sz w:val="8"/>
          <w:szCs w:val="8"/>
        </w:rPr>
      </w:pPr>
    </w:p>
    <w:p>
      <w:pPr>
        <w:pStyle w:val="Heading1"/>
      </w:pPr>
      <w:r>
        <w:t xml:space="preserve">Е. Рабочие места и носители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7"/>
        <w:gridCol w:w="2698"/>
        <w:gridCol w:w="1542"/>
        <w:gridCol w:w="963"/>
      </w:tblGrid>
      <w:tr>
        <w:trPr>
          <w:cantSplit/>
          <w:tblHeader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Что должно быть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Как проверить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Основание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Отметка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Е.1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Каждый сотрудник — под своей учётной записью, общих логинов нет; решено, для каких ролей второй фактор обязателен (Р-20; включается после доработки системы)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Опрос старшего смены; приказ — Рук.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Приказ ФСТЭК № 21 · ПДН Е-39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Е.2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На рабочих компьютерах — антивирус, обновления, блокировка экрана; удалённый доступ (AnyDesk и аналоги) — только с паролем, у известных лиц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Отчёт ИТ по каждому компьютеру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Приказ ФСТЭК № 21 · ПДН Е-46 · Р-21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Е.3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Утверждены инструкция по распечаткам (манифесты, ваучеры, листы заселения — под замком, уничтожаются после смены или поездки) и реестр бланков с ПДн с отметкой типовых форм (Р-25)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Инструкция, листы ознакомления — Отв.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ПП № 687 · ПДН К-11, Б-11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</w:p>
        </w:tc>
      </w:tr>
    </w:tbl>
    <w:p>
      <w:pPr>
        <w:spacing w:after="60" w:before="0" w:line="120"/>
        <w:rPr>
          <w:sz w:val="8"/>
          <w:szCs w:val="8"/>
        </w:rPr>
      </w:pPr>
    </w:p>
    <w:p>
      <w:pPr>
        <w:pStyle w:val="Heading1"/>
      </w:pPr>
      <w:r>
        <w:t xml:space="preserve">Ж. Порядок работы сотрудников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7"/>
        <w:gridCol w:w="2698"/>
        <w:gridCol w:w="1542"/>
        <w:gridCol w:w="963"/>
      </w:tblGrid>
      <w:tr>
        <w:trPr>
          <w:cantSplit/>
          <w:tblHeader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Что должно быть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Как проверить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Основание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Отметка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Ж.1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Разослана памятка диспетчерам, представителям, водителям: пароль и ссылки не передаём; телефон — с блокировкой экрана; паспорта в чаты не пишем; выгрузка — только своя часть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Памятка, лист ознакомления — Отв.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7 · ПДН Д-19, Е-48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Ж.2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Р-9. Принято и записано решение по сведениям о здоровье: (а) не нужны — ввод запрещён, внесённое удалено / (б) нужны — отдельный пункт в поручении АК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Решение; в заявках только потребность («номер на первом этаже»), без диагноза — Отв.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10 · ПДН А-08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Ж.3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Р-8. Принято и записано решение по фото лица водителя: (а) биометрия — письменное согласие / (б) нет — сверка по лицу запрещена / (в) фото не собирается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Решение; инструкция диспетчера; допуск водителя по реквизитам, без копий и ПТС (Р-16) — Рук.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11 · ПДН Б-06, А-09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Ж.4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Реальные ПДн не используются в разработке, тестах, обучении; их нет в чатах, YouGile, ИИ-ассистентах; рабочая база на тестовые серверы не копируется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Регламент; письмо ИТ: на тестовых, демо-серверах и в их почте реальных ПДн нет; проверка YouGile — Отв.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5, 7, 12 · ПДН Е-30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Ж.5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Принято решение о внешнем тесте на проникновение до подключения всех АК и до перехода на новую систему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Решение Рук.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Приказ ФСТЭК № 21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</w:p>
        </w:tc>
      </w:tr>
    </w:tbl>
    <w:p>
      <w:pPr>
        <w:spacing w:after="60" w:before="0" w:line="120"/>
        <w:rPr>
          <w:sz w:val="8"/>
          <w:szCs w:val="8"/>
        </w:rPr>
      </w:pPr>
    </w:p>
    <w:p>
      <w:pPr>
        <w:pStyle w:val="Heading1"/>
      </w:pPr>
      <w:r>
        <w:t xml:space="preserve">З. Kars Hotel PMS — до выдачи кабинета первой гостинице</w:t>
      </w:r>
    </w:p>
    <w:p>
      <w:r>
        <w:t xml:space="preserve">Kars Hotel PMS ещё не запущена в работу; в бронях — ФИО, телефон и e-mail гостя.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7"/>
        <w:gridCol w:w="2698"/>
        <w:gridCol w:w="1542"/>
        <w:gridCol w:w="963"/>
      </w:tblGrid>
      <w:tr>
        <w:trPr>
          <w:cantSplit/>
          <w:tblHeader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Что должно быть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Как проверить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Основание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Отметка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З.1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Определено юрлицо — сторона оферты Kars Hotel PMS; если это не оператор Kars Avia, передача данных гостей из Kars Avia в PMS оформлена поручением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Решение Рук. — Юр.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6 ч. 3 · Р-5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З.2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Утверждена оферта с поручением от гостиниц: данные в РФ, хостер, срок уведомления о нарушении, выход с уничтожением данных гостей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Текст оферты — Юр.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6 ч. 3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З.3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Юрлицо, ведущее PMS, — в реестре: тот же оператор — изменения до 15-го числа месяца после запуска (персонал гостиниц, место базы, хостер); другое юрлицо — уведомление до начала обработки (А.1); о гостях уведомляют гостиницы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Квитанция — Отв.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22 ч. 1, 7 · ПДН К-04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З.4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С хостингом PMS и хранилищем копий в РФ заключены договоры с поручением; срок и место копий — по Р-12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Договоры — Юр.; место и шифрование копий — док. 2 А.2 — ИТ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18 ч. 5, ст. 19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</w:p>
        </w:tc>
      </w:tr>
    </w:tbl>
    <w:p>
      <w:pPr>
        <w:spacing w:after="60" w:before="0" w:line="120"/>
        <w:rPr>
          <w:sz w:val="8"/>
          <w:szCs w:val="8"/>
        </w:rPr>
      </w:pPr>
    </w:p>
    <w:p>
      <w:pPr>
        <w:pStyle w:val="Heading1"/>
      </w:pPr>
      <w:r>
        <w:t xml:space="preserve">И. Сведения, которые подтверждает компания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7"/>
        <w:gridCol w:w="2698"/>
        <w:gridCol w:w="1542"/>
        <w:gridCol w:w="963"/>
      </w:tblGrid>
      <w:tr>
        <w:trPr>
          <w:cantSplit/>
          <w:tblHeader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Что должно быть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Как проверить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Основание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Отметка</w:t>
            </w: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И.1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Оператор — ООО «Карс Авиа», ИНН 2365029845 (по оценке команды v3; возможны ООО «Ани Групп Аэро» и «Карс Туристик»); ОГРН и юридический адрес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Выписка ЕГРЮЛ — Рук.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22 · Р-5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И.2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Людей в базе по категориям — меньше 100 000 (по оценке команды v3 — 10–50 тыс., ≈20 тыс. в год; 100 000 — за 5 лет без удаления по срокам)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Подсчёт ИТ по рабочей базе без выгрузки данных — ИТ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ПП № 1119 · ПДН Е-32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И.3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Список АК-клиентов (иностранные отмечены) и условия о поручении из их договоров; кто заказывает гостиницы и трансфер — АК или компания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Список, выписки из договоров — Юр.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6, 12 · ПДН А-01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И.4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Как оформлены водители: прямой договор (ИП, самозанятый) или через трансферные организации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Ответ Рук.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152-ФЗ ст. 6 · Р-6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И.5</w:t>
            </w:r>
          </w:p>
        </w:tc>
        <w:tc>
          <w:tcPr>
            <w:tcW w:type="dxa" w:w="38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Выручка за 2025 год — для оценки возможных штрафов</w:t>
            </w:r>
          </w:p>
        </w:tc>
        <w:tc>
          <w:tcPr>
            <w:tcW w:type="dxa" w:w="26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Ответ Бух.</w:t>
            </w:r>
          </w:p>
        </w:tc>
        <w:tc>
          <w:tcPr>
            <w:tcW w:type="dxa" w:w="15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  <w:r>
              <w:rPr>
                <w:sz w:val="18"/>
                <w:szCs w:val="18"/>
              </w:rPr>
              <w:t xml:space="preserve">КоАП РФ ст. 13.11</w:t>
            </w:r>
          </w:p>
        </w:tc>
        <w:tc>
          <w:tcPr>
            <w:tcW w:type="dxa" w:w="9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40"/>
              <w:jc w:val="left"/>
            </w:pPr>
          </w:p>
        </w:tc>
      </w:tr>
    </w:tbl>
    <w:p>
      <w:pPr>
        <w:spacing w:after="60" w:before="0" w:line="120"/>
        <w:rPr>
          <w:sz w:val="8"/>
          <w:szCs w:val="8"/>
        </w:rPr>
      </w:pPr>
    </w:p>
    <w:p>
      <w:r>
        <w:t xml:space="preserve">Ответственный за заполнение: ____________________ Дата: ____________ Подпись: ____________________</w:t>
      </w:r>
    </w:p>
    <w:sectPr>
      <w:footerReference w:type="default" r:id="rId6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6A6A6" w:sz="4" w:space="4"/>
      </w:pBdr>
      <w:tabs>
        <w:tab w:val="right" w:pos="9638"/>
      </w:tabs>
      <w:spacing w:after="0" w:before="0"/>
    </w:pPr>
    <w:r>
      <w:rPr>
        <w:color w:val="595959"/>
        <w:sz w:val="15"/>
        <w:szCs w:val="15"/>
      </w:rPr>
      <w:t xml:space="preserve">Kars Avia · 152-ФЗ · требования к организации · ред. от 07.10.2026</w:t>
    </w:r>
    <w:r>
      <w:rPr>
        <w:color w:val="595959"/>
        <w:sz w:val="15"/>
        <w:szCs w:val="15"/>
      </w:rPr>
      <w:tab/>
      <w:t xml:space="preserve">стр.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60"/>
      </w:pPr>
    </w:lvl>
    <w:lvl w:ilvl="1" w:tentative="1">
      <w:start w:val="1"/>
      <w:numFmt w:val="bullet"/>
      <w:lvlText w:val="–"/>
      <w:lvlJc w:val="left"/>
      <w:pPr>
        <w:ind w:left="940" w:hanging="360"/>
      </w:pPr>
    </w:lvl>
    <w:lvl w:ilvl="2" w:tentative="1">
      <w:start w:val="1"/>
      <w:numFmt w:val="bullet"/>
      <w:lvlText w:val="•"/>
      <w:lvlJc w:val="left"/>
      <w:pPr>
        <w:ind w:left="1340" w:hanging="360"/>
      </w:pPr>
    </w:lvl>
    <w:lvl w:ilvl="3" w:tentative="1">
      <w:start w:val="1"/>
      <w:numFmt w:val="bullet"/>
      <w:lvlText w:val="–"/>
      <w:lvlJc w:val="left"/>
      <w:pPr>
        <w:ind w:left="1740" w:hanging="360"/>
      </w:pPr>
    </w:lvl>
    <w:lvl w:ilvl="4" w:tentative="1">
      <w:start w:val="1"/>
      <w:numFmt w:val="bullet"/>
      <w:lvlText w:val="•"/>
      <w:lvlJc w:val="left"/>
      <w:pPr>
        <w:ind w:left="2140" w:hanging="360"/>
      </w:pPr>
    </w:lvl>
    <w:lvl w:ilvl="5" w:tentative="1">
      <w:start w:val="1"/>
      <w:numFmt w:val="bullet"/>
      <w:lvlText w:val="–"/>
      <w:lvlJc w:val="left"/>
      <w:pPr>
        <w:ind w:left="2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  <w:lang w:val="ru-RU"/>
      </w:rPr>
    </w:rPrDefault>
    <w:pPrDefault>
      <w:pPr>
        <w:spacing w:after="100" w:before="0" w:line="264"/>
      </w:pPr>
    </w:pPrDefault>
  </w:docDefaults>
  <w:style w:type="paragraph" w:styleId="Normal" w:default="1">
    <w:name w:val="Normal"/>
    <w:qFormat/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80" w:before="480" w:line="288"/>
      <w:jc w:val="center"/>
    </w:pPr>
    <w:rPr>
      <w:rFonts w:ascii="Arial" w:cs="Arial" w:eastAsia="Arial" w:hAnsi="Arial"/>
      <w:b/>
      <w:bCs/>
      <w:color w:val="000000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keepLines/>
      <w:spacing w:after="140" w:before="36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keepLines/>
      <w:spacing w:after="110" w:before="280"/>
      <w:outlineLvl w:val="1"/>
    </w:pPr>
    <w:rPr>
      <w:rFonts w:ascii="Arial" w:cs="Arial" w:eastAsia="Arial" w:hAnsi="Arial"/>
      <w:b/>
      <w:bCs/>
      <w:color w:val="000000"/>
      <w:sz w:val="23"/>
      <w:szCs w:val="23"/>
    </w:rPr>
  </w:style>
  <w:style w:type="paragraph" w:styleId="Heading3">
    <w:name w:val="Heading 3"/>
    <w:basedOn w:val="Normal"/>
    <w:next w:val="Normal"/>
    <w:qFormat/>
    <w:pPr>
      <w:keepNext/>
      <w:keepLines/>
      <w:spacing w:after="80" w:before="200"/>
      <w:outlineLvl w:val="2"/>
    </w:pPr>
    <w:rPr>
      <w:rFonts w:ascii="Arial" w:cs="Arial" w:eastAsia="Arial" w:hAnsi="Arial"/>
      <w:b/>
      <w:bCs/>
      <w:color w:val="000000"/>
      <w:sz w:val="21"/>
      <w:szCs w:val="21"/>
    </w:rPr>
  </w:style>
  <w:style w:type="paragraph" w:styleId="Heading4">
    <w:name w:val="Heading 4"/>
    <w:basedOn w:val="Normal"/>
    <w:next w:val="Normal"/>
    <w:qFormat/>
    <w:pPr>
      <w:keepNext/>
      <w:keepLines/>
      <w:spacing w:after="60" w:before="160"/>
      <w:outlineLvl w:val="3"/>
    </w:pPr>
    <w:rPr>
      <w:rFonts w:ascii="Arial" w:cs="Arial" w:eastAsia="Arial" w:hAnsi="Arial"/>
      <w:b/>
      <w:bCs/>
      <w:color w:val="000000"/>
      <w:sz w:val="20"/>
      <w:szCs w:val="20"/>
    </w:rPr>
  </w:style>
  <w:style w:type="paragraph" w:styleId="TOC1">
    <w:name w:val="toc 1"/>
    <w:basedOn w:val="Normal"/>
    <w:next w:val="Normal"/>
    <w:pPr>
      <w:spacing w:after="40" w:before="0"/>
      <w:ind w:left="0"/>
    </w:pPr>
    <w:rPr>
      <w:b/>
      <w:bCs/>
      <w:sz w:val="18"/>
      <w:szCs w:val="18"/>
    </w:rPr>
  </w:style>
  <w:style w:type="paragraph" w:styleId="TOC2">
    <w:name w:val="toc 2"/>
    <w:basedOn w:val="Normal"/>
    <w:next w:val="Normal"/>
    <w:pPr>
      <w:spacing w:after="40" w:before="0"/>
      <w:ind w:left="240"/>
    </w:pPr>
    <w:rPr>
      <w:sz w:val="18"/>
      <w:szCs w:val="18"/>
    </w:rPr>
  </w:style>
  <w:style w:type="paragraph" w:styleId="TOC3">
    <w:name w:val="toc 3"/>
    <w:basedOn w:val="Normal"/>
    <w:next w:val="Normal"/>
    <w:pPr>
      <w:spacing w:after="40" w:before="0"/>
      <w:ind w:left="480"/>
    </w:pPr>
    <w:rPr>
      <w:sz w:val="18"/>
      <w:szCs w:val="1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Требования 152-ФЗ к организации Kars Avia</dc:title>
  <dc:creator>КарсАвиа · аудит 152-ФЗ</dc:creator>
  <dc:description>Аналитика по коду, не юридическое заключение. Ред. 05.10.2026</dc:description>
  <cp:lastModifiedBy>Un-named</cp:lastModifiedBy>
  <cp:revision>1</cp:revision>
  <dcterms:created xsi:type="dcterms:W3CDTF">2026-10-07T13:53:21.494Z</dcterms:created>
  <dcterms:modified xsi:type="dcterms:W3CDTF">2026-10-07T13:53:21.494Z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