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indicadores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indicadores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La página </w:t>
            </w: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Indicadores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sirve para presentar y revisar métricas clave relacionadas con la formación de los empleados.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Encabezado de la Página</w:t>
            </w:r>
            <w:r>
              <w:rPr/>
              <w:t>: Informa al usuario que está en la sección de indicadores de formación, con el título "Indicadores".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Lista de Indicadores</w:t>
            </w:r>
            <w:r>
              <w:rPr/>
              <w:t>: Contiene una lista de elementos que representan diferentes métricas de formación, tales como: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Número medio de horas anuales de formación por empleado.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Número anual de horas de formación.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Número de cursos ofertados.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Número de cursos cancelados.</w:t>
            </w:r>
          </w:p>
          <w:p>
            <w:pPr>
              <w:pStyle w:val="Heading3"/>
              <w:rPr/>
            </w:pPr>
            <w:r>
              <w:rPr/>
              <w:t xml:space="preserve">Acciones del Usuario </w:t>
            </w:r>
            <w:r>
              <w:rPr/>
              <w:t>Admin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Seleccionar un Indicador</w:t>
            </w:r>
            <w:r>
              <w:rPr/>
              <w:t>: Al hacer clic en cualquiera de los elementos de la lista permiti</w:t>
            </w:r>
            <w:r>
              <w:rPr/>
              <w:t xml:space="preserve">rá al usuario admin </w:t>
            </w:r>
            <w:r>
              <w:rPr/>
              <w:t>acceder a información detallada.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6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Lista de Indicadores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 </w:t>
            </w:r>
            <w:r>
              <w:rPr/>
              <w:t xml:space="preserve">Una lista interactiva de opciones donde cada indicador sea un botón o elemento claramente clickable. Cada uno debe estar bien organizado para facilitar la selección rápida de métricas relevantes. 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8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indicadores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4436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4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LibreOffice/24.8.2.1$Windows_X86_64 LibreOffice_project/0f794b6e29741098670a3b95d60478a65d05ef13</Application>
  <AppVersion>15.0000</AppVersion>
  <Pages>4</Pages>
  <Words>173</Words>
  <Characters>1015</Characters>
  <CharactersWithSpaces>1160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2024-10-30T12:28:23Z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