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 Chances Assessment and Escalation Roadmap</w:t>
      </w:r>
    </w:p>
    <w:p>
      <w:pPr>
        <w:pStyle w:val="PreformattedText"/>
        <w:bidi w:val="0"/>
        <w:spacing w:before="0" w:after="0"/>
        <w:jc w:val="left"/>
        <w:rPr/>
      </w:pPr>
      <w:r>
        <w:rPr/>
        <w:t>### Anfal Elbushra (Student 40805511) - Edinburgh Napier University Accommodation Arrears</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Summary of the situation</w:t>
      </w:r>
    </w:p>
    <w:p>
      <w:pPr>
        <w:pStyle w:val="PreformattedText"/>
        <w:bidi w:val="0"/>
        <w:spacing w:before="0" w:after="0"/>
        <w:jc w:val="left"/>
        <w:rPr/>
      </w:pPr>
      <w:r>
        <w:rPr/>
      </w:r>
    </w:p>
    <w:p>
      <w:pPr>
        <w:pStyle w:val="PreformattedText"/>
        <w:bidi w:val="0"/>
        <w:spacing w:before="0" w:after="0"/>
        <w:jc w:val="left"/>
        <w:rPr/>
      </w:pPr>
      <w:r>
        <w:rPr/>
        <w:t>Anfal Elbushra is a first-year Adult Nursing student living in university accommodation at Castlelaw House. She owes £5,526.66 in rent arrears (November 2025 to April 2026, £921.11/month). A Notice to Quit has been served requiring her to vacate by 10am on 18 May 2026. Her mother Leila Hassan is the guarantor - she is disabled, receives PIP, and is a refugee on a family reunion visa with no assets. Anfal has depression with suicidal ideation (disclosed December 2025) and agoraphobia. The university counselling service closed her file on 28 April 2026 while she was in crisis. A safeguarding referral has been opened (CRM:00380000000541). ENSA Advice (Moray Pryde) is involved. Anfal's bank balance is £1.20. She wants to withdraw from her course.</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1. Likelihood of getting the eviction paused or cancelled</w:t>
      </w:r>
    </w:p>
    <w:p>
      <w:pPr>
        <w:pStyle w:val="PreformattedText"/>
        <w:bidi w:val="0"/>
        <w:spacing w:before="0" w:after="0"/>
        <w:jc w:val="left"/>
        <w:rPr/>
      </w:pPr>
      <w:r>
        <w:rPr/>
      </w:r>
    </w:p>
    <w:p>
      <w:pPr>
        <w:pStyle w:val="PreformattedText"/>
        <w:bidi w:val="0"/>
        <w:spacing w:before="0" w:after="0"/>
        <w:jc w:val="left"/>
        <w:rPr/>
      </w:pPr>
      <w:r>
        <w:rPr/>
        <w:t>**Assessment: Moderate chance (40-50%)**</w:t>
      </w:r>
    </w:p>
    <w:p>
      <w:pPr>
        <w:pStyle w:val="PreformattedText"/>
        <w:bidi w:val="0"/>
        <w:spacing w:before="0" w:after="0"/>
        <w:jc w:val="left"/>
        <w:rPr/>
      </w:pPr>
      <w:r>
        <w:rPr/>
      </w:r>
    </w:p>
    <w:p>
      <w:pPr>
        <w:pStyle w:val="PreformattedText"/>
        <w:bidi w:val="0"/>
        <w:spacing w:before="0" w:after="0"/>
        <w:jc w:val="left"/>
        <w:rPr/>
      </w:pPr>
      <w:r>
        <w:rPr/>
        <w:t>What works in Anfal's favour:</w:t>
      </w:r>
    </w:p>
    <w:p>
      <w:pPr>
        <w:pStyle w:val="PreformattedText"/>
        <w:bidi w:val="0"/>
        <w:spacing w:before="0" w:after="0"/>
        <w:jc w:val="left"/>
        <w:rPr/>
      </w:pPr>
      <w:r>
        <w:rPr/>
        <w:t>- The university has known about her mental health crisis since December 2025. She disclosed suicidal ideation to support services. A safeguarding referral was opened. These facts trigger the university's duty of care and its obligations under the Equality Act 2010.</w:t>
      </w:r>
    </w:p>
    <w:p>
      <w:pPr>
        <w:pStyle w:val="PreformattedText"/>
        <w:bidi w:val="0"/>
        <w:spacing w:before="0" w:after="0"/>
        <w:jc w:val="left"/>
        <w:rPr/>
      </w:pPr>
      <w:r>
        <w:rPr/>
        <w:t>- The Notice to Quit process appears to have been procedural rather than a genuine hearing. The meeting on 10 April with Nika Srebrzynska was described as a notification of arrears, not an opportunity to challenge the eviction or request adjustments. That raises fairness questions.</w:t>
      </w:r>
    </w:p>
    <w:p>
      <w:pPr>
        <w:pStyle w:val="PreformattedText"/>
        <w:bidi w:val="0"/>
        <w:spacing w:before="0" w:after="0"/>
        <w:jc w:val="left"/>
        <w:rPr/>
      </w:pPr>
      <w:r>
        <w:rPr/>
        <w:t>- The university is a registered charity (SC018373). Evicting a suicidal student and pursuing a disabled PIP recipient guarantor with no assets is hard to defend as a proportionate use of charitable funds.</w:t>
      </w:r>
    </w:p>
    <w:p>
      <w:pPr>
        <w:pStyle w:val="PreformattedText"/>
        <w:bidi w:val="0"/>
        <w:spacing w:before="0" w:after="0"/>
        <w:jc w:val="left"/>
        <w:rPr/>
      </w:pPr>
      <w:r>
        <w:rPr/>
        <w:t>- Article 8 of the European Convention on Human Rights (right to respect for private and family life, home) applies to public authorities. Edinburgh Napier University, as a public body, must act compatibly with Convention rights. Eviction that makes a student homeless and separates her from her disabled mother could engage Article 8. The case of *Connors v United Kingdom* (2004) established that eviction from a home requires procedural safeguards and proportionality. *McCann v United Kingdom* (2008) reinforced that a court must consider whether eviction is proportionate, not automatic.</w:t>
      </w:r>
    </w:p>
    <w:p>
      <w:pPr>
        <w:pStyle w:val="PreformattedText"/>
        <w:bidi w:val="0"/>
        <w:spacing w:before="0" w:after="0"/>
        <w:jc w:val="left"/>
        <w:rPr/>
      </w:pPr>
      <w:r>
        <w:rPr/>
        <w:t>- The Public Sector Equality Duty (Equality Act 2010, Section 149) requires the university to have due regard to eliminating discrimination and advancing equality of opportunity for disabled people. Evicting a student with known mental health disability without considering reasonable adjustments may breach this duty. The case of *R (Bracking) v Secretary of State for Work and Pensions* [2013] EWCA Civ 1345 sets out the principles: the duty is substantial, must be exercised in substance and with rigour, and must be apparent from the decision-making process.</w:t>
      </w:r>
    </w:p>
    <w:p>
      <w:pPr>
        <w:pStyle w:val="PreformattedText"/>
        <w:bidi w:val="0"/>
        <w:spacing w:before="0" w:after="0"/>
        <w:jc w:val="left"/>
        <w:rPr/>
      </w:pPr>
      <w:r>
        <w:rPr/>
      </w:r>
    </w:p>
    <w:p>
      <w:pPr>
        <w:pStyle w:val="PreformattedText"/>
        <w:bidi w:val="0"/>
        <w:spacing w:before="0" w:after="0"/>
        <w:jc w:val="left"/>
        <w:rPr/>
      </w:pPr>
      <w:r>
        <w:rPr/>
        <w:t>What works against:</w:t>
      </w:r>
    </w:p>
    <w:p>
      <w:pPr>
        <w:pStyle w:val="PreformattedText"/>
        <w:bidi w:val="0"/>
        <w:spacing w:before="0" w:after="0"/>
        <w:jc w:val="left"/>
        <w:rPr/>
      </w:pPr>
      <w:r>
        <w:rPr/>
        <w:t>- The arrears are real and substantial. The tenancy agreement gives the university the right to terminate for non-payment. The NTQ has been served with a clear deadline.</w:t>
      </w:r>
    </w:p>
    <w:p>
      <w:pPr>
        <w:pStyle w:val="PreformattedText"/>
        <w:bidi w:val="0"/>
        <w:spacing w:before="0" w:after="0"/>
        <w:jc w:val="left"/>
        <w:rPr/>
      </w:pPr>
      <w:r>
        <w:rPr/>
        <w:t>- The university may argue it has already offered support (hardship fund, meeting, referral to ENSA) and Anfal did not engage fully.</w:t>
      </w:r>
    </w:p>
    <w:p>
      <w:pPr>
        <w:pStyle w:val="PreformattedText"/>
        <w:bidi w:val="0"/>
        <w:spacing w:before="0" w:after="0"/>
        <w:jc w:val="left"/>
        <w:rPr/>
      </w:pPr>
      <w:r>
        <w:rPr/>
        <w:t>- The finance department has set a 9 May deadline for payment, and the accommodation team has aligned with that.</w:t>
      </w:r>
    </w:p>
    <w:p>
      <w:pPr>
        <w:pStyle w:val="PreformattedText"/>
        <w:bidi w:val="0"/>
        <w:spacing w:before="0" w:after="0"/>
        <w:jc w:val="left"/>
        <w:rPr/>
      </w:pPr>
      <w:r>
        <w:rPr/>
      </w:r>
    </w:p>
    <w:p>
      <w:pPr>
        <w:pStyle w:val="PreformattedText"/>
        <w:bidi w:val="0"/>
        <w:spacing w:before="0" w:after="0"/>
        <w:jc w:val="left"/>
        <w:rPr/>
      </w:pPr>
      <w:r>
        <w:rPr/>
        <w:t>Bottom line: A pause is more likely than a full cancellation. The best route is to negotiate a short extension to allow time for a formal complaint and a managed surrender of the tenancy. If the university refuses, the legal arguments under the Equality Act and Article 8 give grounds for a formal challenge, but that takes time Anfal may not have before 18 May.</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2. Likelihood of getting arrears written off on compassionate grounds</w:t>
      </w:r>
    </w:p>
    <w:p>
      <w:pPr>
        <w:pStyle w:val="PreformattedText"/>
        <w:bidi w:val="0"/>
        <w:spacing w:before="0" w:after="0"/>
        <w:jc w:val="left"/>
        <w:rPr/>
      </w:pPr>
      <w:r>
        <w:rPr/>
      </w:r>
    </w:p>
    <w:p>
      <w:pPr>
        <w:pStyle w:val="PreformattedText"/>
        <w:bidi w:val="0"/>
        <w:spacing w:before="0" w:after="0"/>
        <w:jc w:val="left"/>
        <w:rPr/>
      </w:pPr>
      <w:r>
        <w:rPr/>
        <w:t>**Assessment: Low to moderate (20-30%)**</w:t>
      </w:r>
    </w:p>
    <w:p>
      <w:pPr>
        <w:pStyle w:val="PreformattedText"/>
        <w:bidi w:val="0"/>
        <w:spacing w:before="0" w:after="0"/>
        <w:jc w:val="left"/>
        <w:rPr/>
      </w:pPr>
      <w:r>
        <w:rPr/>
      </w:r>
    </w:p>
    <w:p>
      <w:pPr>
        <w:pStyle w:val="PreformattedText"/>
        <w:bidi w:val="0"/>
        <w:spacing w:before="0" w:after="0"/>
        <w:jc w:val="left"/>
        <w:rPr/>
      </w:pPr>
      <w:r>
        <w:rPr/>
        <w:t>What works in Anfal's favour:</w:t>
      </w:r>
    </w:p>
    <w:p>
      <w:pPr>
        <w:pStyle w:val="PreformattedText"/>
        <w:bidi w:val="0"/>
        <w:spacing w:before="0" w:after="0"/>
        <w:jc w:val="left"/>
        <w:rPr/>
      </w:pPr>
      <w:r>
        <w:rPr/>
        <w:t>- The family cannot pay. The mother is on PIP with no savings. Anfal has £1.20 in her bank account. The guarantor has no assets. Pursuing the debt is uneconomical and the university would likely spend more in collection than it recovers.</w:t>
      </w:r>
    </w:p>
    <w:p>
      <w:pPr>
        <w:pStyle w:val="PreformattedText"/>
        <w:bidi w:val="0"/>
        <w:spacing w:before="0" w:after="0"/>
        <w:jc w:val="left"/>
        <w:rPr/>
      </w:pPr>
      <w:r>
        <w:rPr/>
        <w:t>- The university's charitable status means it should consider whether enforcement is a good use of charitable funds. Writing off the debt as uneconomical to pursue is a standard commercial decision.</w:t>
      </w:r>
    </w:p>
    <w:p>
      <w:pPr>
        <w:pStyle w:val="PreformattedText"/>
        <w:bidi w:val="0"/>
        <w:spacing w:before="0" w:after="0"/>
        <w:jc w:val="left"/>
        <w:rPr/>
      </w:pPr>
      <w:r>
        <w:rPr/>
        <w:t>- The compassionate grounds are strong: a disabled student with suicidal ideation, a disabled mother on PIP, a refugee family with no support network.</w:t>
      </w:r>
    </w:p>
    <w:p>
      <w:pPr>
        <w:pStyle w:val="PreformattedText"/>
        <w:bidi w:val="0"/>
        <w:spacing w:before="0" w:after="0"/>
        <w:jc w:val="left"/>
        <w:rPr/>
      </w:pPr>
      <w:r>
        <w:rPr/>
        <w:t>- The university has a Hardship Fund (Anfal received £500) but that is not a realistic solution for £5,526.66.</w:t>
      </w:r>
    </w:p>
    <w:p>
      <w:pPr>
        <w:pStyle w:val="PreformattedText"/>
        <w:bidi w:val="0"/>
        <w:spacing w:before="0" w:after="0"/>
        <w:jc w:val="left"/>
        <w:rPr/>
      </w:pPr>
      <w:r>
        <w:rPr/>
      </w:r>
    </w:p>
    <w:p>
      <w:pPr>
        <w:pStyle w:val="PreformattedText"/>
        <w:bidi w:val="0"/>
        <w:spacing w:before="0" w:after="0"/>
        <w:jc w:val="left"/>
        <w:rPr/>
      </w:pPr>
      <w:r>
        <w:rPr/>
        <w:t>What works against:</w:t>
      </w:r>
    </w:p>
    <w:p>
      <w:pPr>
        <w:pStyle w:val="PreformattedText"/>
        <w:bidi w:val="0"/>
        <w:spacing w:before="0" w:after="0"/>
        <w:jc w:val="left"/>
        <w:rPr/>
      </w:pPr>
      <w:r>
        <w:rPr/>
        <w:t>- Universities are generally reluctant to write off debt because of precedent concerns. If they write off one student's arrears, others may expect the same.</w:t>
      </w:r>
    </w:p>
    <w:p>
      <w:pPr>
        <w:pStyle w:val="PreformattedText"/>
        <w:bidi w:val="0"/>
        <w:spacing w:before="0" w:after="0"/>
        <w:jc w:val="left"/>
        <w:rPr/>
      </w:pPr>
      <w:r>
        <w:rPr/>
        <w:t>- The arrears are £5,526.66 - not trivial. The university may insist on some payment as a condition of surrender.</w:t>
      </w:r>
    </w:p>
    <w:p>
      <w:pPr>
        <w:pStyle w:val="PreformattedText"/>
        <w:bidi w:val="0"/>
        <w:spacing w:before="0" w:after="0"/>
        <w:jc w:val="left"/>
        <w:rPr/>
      </w:pPr>
      <w:r>
        <w:rPr/>
        <w:t>- The tenancy agreement and guarantor form are legally binding documents. The university has a contractual right to pursue the debt.</w:t>
      </w:r>
    </w:p>
    <w:p>
      <w:pPr>
        <w:pStyle w:val="PreformattedText"/>
        <w:bidi w:val="0"/>
        <w:spacing w:before="0" w:after="0"/>
        <w:jc w:val="left"/>
        <w:rPr/>
      </w:pPr>
      <w:r>
        <w:rPr/>
      </w:r>
    </w:p>
    <w:p>
      <w:pPr>
        <w:pStyle w:val="PreformattedText"/>
        <w:bidi w:val="0"/>
        <w:spacing w:before="0" w:after="0"/>
        <w:jc w:val="left"/>
        <w:rPr/>
      </w:pPr>
      <w:r>
        <w:rPr/>
        <w:t>Bottom line: A full write-off is unlikely but a negotiated surrender where the university agrees not to pursue the debt (or writes off a portion) is more achievable. The family should ask for the arrears to be written off as a compassionate measure, but be prepared to accept a compromise: surrender of the tenancy, no further enforcement, and a written undertaking not to pursue the guarantor.</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3. Likelihood of formal complaint succeeding</w:t>
      </w:r>
    </w:p>
    <w:p>
      <w:pPr>
        <w:pStyle w:val="PreformattedText"/>
        <w:bidi w:val="0"/>
        <w:spacing w:before="0" w:after="0"/>
        <w:jc w:val="left"/>
        <w:rPr/>
      </w:pPr>
      <w:r>
        <w:rPr/>
      </w:r>
    </w:p>
    <w:p>
      <w:pPr>
        <w:pStyle w:val="PreformattedText"/>
        <w:bidi w:val="0"/>
        <w:spacing w:before="0" w:after="0"/>
        <w:jc w:val="left"/>
        <w:rPr/>
      </w:pPr>
      <w:r>
        <w:rPr/>
        <w:t>**Assessment: Moderate (40-50%)**</w:t>
      </w:r>
    </w:p>
    <w:p>
      <w:pPr>
        <w:pStyle w:val="PreformattedText"/>
        <w:bidi w:val="0"/>
        <w:spacing w:before="0" w:after="0"/>
        <w:jc w:val="left"/>
        <w:rPr/>
      </w:pPr>
      <w:r>
        <w:rPr/>
      </w:r>
    </w:p>
    <w:p>
      <w:pPr>
        <w:pStyle w:val="PreformattedText"/>
        <w:bidi w:val="0"/>
        <w:spacing w:before="0" w:after="0"/>
        <w:jc w:val="left"/>
        <w:rPr/>
      </w:pPr>
      <w:r>
        <w:rPr/>
        <w:t>What works in Anfal's favour:</w:t>
      </w:r>
    </w:p>
    <w:p>
      <w:pPr>
        <w:pStyle w:val="PreformattedText"/>
        <w:bidi w:val="0"/>
        <w:spacing w:before="0" w:after="0"/>
        <w:jc w:val="left"/>
        <w:rPr/>
      </w:pPr>
      <w:r>
        <w:rPr/>
        <w:t>- The complaint grounds are strong:</w:t>
      </w:r>
    </w:p>
    <w:p>
      <w:pPr>
        <w:pStyle w:val="PreformattedText"/>
        <w:bidi w:val="0"/>
        <w:spacing w:before="0" w:after="0"/>
        <w:jc w:val="left"/>
        <w:rPr/>
      </w:pPr>
      <w:r>
        <w:rPr/>
        <w:t xml:space="preserve">  </w:t>
      </w:r>
      <w:r>
        <w:rPr/>
        <w:t>- Failure to make reasonable adjustments for disability (Equality Act 2010, Sections 20-22). Anfal's depression and agoraphobia are disabilities. The university should have considered adjustments to the payment schedule, the eviction process, and the support offered.</w:t>
      </w:r>
    </w:p>
    <w:p>
      <w:pPr>
        <w:pStyle w:val="PreformattedText"/>
        <w:bidi w:val="0"/>
        <w:spacing w:before="0" w:after="0"/>
        <w:jc w:val="left"/>
        <w:rPr/>
      </w:pPr>
      <w:r>
        <w:rPr/>
        <w:t xml:space="preserve">  </w:t>
      </w:r>
      <w:r>
        <w:rPr/>
        <w:t>- Discrimination arising from disability (Section 15). The eviction is a direct consequence of Anfal's inability to pay, which is linked to her mental health.</w:t>
      </w:r>
    </w:p>
    <w:p>
      <w:pPr>
        <w:pStyle w:val="PreformattedText"/>
        <w:bidi w:val="0"/>
        <w:spacing w:before="0" w:after="0"/>
        <w:jc w:val="left"/>
        <w:rPr/>
      </w:pPr>
      <w:r>
        <w:rPr/>
        <w:t xml:space="preserve">  </w:t>
      </w:r>
      <w:r>
        <w:rPr/>
        <w:t>- Breach of duty of care. The university knew about suicidal ideation from December 2025. The counselling service closed her file on 28 April 2026 without follow-up while she was in crisis. That is hard to defend.</w:t>
      </w:r>
    </w:p>
    <w:p>
      <w:pPr>
        <w:pStyle w:val="PreformattedText"/>
        <w:bidi w:val="0"/>
        <w:spacing w:before="0" w:after="0"/>
        <w:jc w:val="left"/>
        <w:rPr/>
      </w:pPr>
      <w:r>
        <w:rPr/>
        <w:t xml:space="preserve">  </w:t>
      </w:r>
      <w:r>
        <w:rPr/>
        <w:t>- Procedural unfairness in the NTQ process. The meeting on 10 April was not a genuine hearing - it was a notification of arrears with no opportunity to challenge or request adjustments.</w:t>
      </w:r>
    </w:p>
    <w:p>
      <w:pPr>
        <w:pStyle w:val="PreformattedText"/>
        <w:bidi w:val="0"/>
        <w:spacing w:before="0" w:after="0"/>
        <w:jc w:val="left"/>
        <w:rPr/>
      </w:pPr>
      <w:r>
        <w:rPr/>
        <w:t xml:space="preserve">  </w:t>
      </w:r>
      <w:r>
        <w:rPr/>
        <w:t>- Disproportionate enforcement against a disabled PIP recipient guarantor. The Public Sector Equality Duty requires the university to consider the impact on disabled people.</w:t>
      </w:r>
    </w:p>
    <w:p>
      <w:pPr>
        <w:pStyle w:val="PreformattedText"/>
        <w:bidi w:val="0"/>
        <w:spacing w:before="0" w:after="0"/>
        <w:jc w:val="left"/>
        <w:rPr/>
      </w:pPr>
      <w:r>
        <w:rPr/>
        <w:t>- The OIA (Office of the Independent Adjudicator) has a track record of finding against universities that fail to make reasonable adjustments for mental health. The OIA can recommend financial redress, policy changes, and apologies.</w:t>
      </w:r>
    </w:p>
    <w:p>
      <w:pPr>
        <w:pStyle w:val="PreformattedText"/>
        <w:bidi w:val="0"/>
        <w:spacing w:before="0" w:after="0"/>
        <w:jc w:val="left"/>
        <w:rPr/>
      </w:pPr>
      <w:r>
        <w:rPr/>
      </w:r>
    </w:p>
    <w:p>
      <w:pPr>
        <w:pStyle w:val="PreformattedText"/>
        <w:bidi w:val="0"/>
        <w:spacing w:before="0" w:after="0"/>
        <w:jc w:val="left"/>
        <w:rPr/>
      </w:pPr>
      <w:r>
        <w:rPr/>
        <w:t>What works against:</w:t>
      </w:r>
    </w:p>
    <w:p>
      <w:pPr>
        <w:pStyle w:val="PreformattedText"/>
        <w:bidi w:val="0"/>
        <w:spacing w:before="0" w:after="0"/>
        <w:jc w:val="left"/>
        <w:rPr/>
      </w:pPr>
      <w:r>
        <w:rPr/>
        <w:t>- Internal complaints can be slow. The university may take 10 working days to respond, which takes Anfal past the 18 May deadline.</w:t>
      </w:r>
    </w:p>
    <w:p>
      <w:pPr>
        <w:pStyle w:val="PreformattedText"/>
        <w:bidi w:val="0"/>
        <w:spacing w:before="0" w:after="0"/>
        <w:jc w:val="left"/>
        <w:rPr/>
      </w:pPr>
      <w:r>
        <w:rPr/>
        <w:t>- The university may argue it offered support (meeting with Nika, referral to ENSA, hardship fund) and Anfal did not take it up.</w:t>
      </w:r>
    </w:p>
    <w:p>
      <w:pPr>
        <w:pStyle w:val="PreformattedText"/>
        <w:bidi w:val="0"/>
        <w:spacing w:before="0" w:after="0"/>
        <w:jc w:val="left"/>
        <w:rPr/>
      </w:pPr>
      <w:r>
        <w:rPr/>
        <w:t>- The OIA process takes months. It will not help with the immediate eviction deadline.</w:t>
      </w:r>
    </w:p>
    <w:p>
      <w:pPr>
        <w:pStyle w:val="PreformattedText"/>
        <w:bidi w:val="0"/>
        <w:spacing w:before="0" w:after="0"/>
        <w:jc w:val="left"/>
        <w:rPr/>
      </w:pPr>
      <w:r>
        <w:rPr/>
        <w:t>- The university may argue that the arrears are a contractual matter and the complaint process is not the right forum for disputing a debt.</w:t>
      </w:r>
    </w:p>
    <w:p>
      <w:pPr>
        <w:pStyle w:val="PreformattedText"/>
        <w:bidi w:val="0"/>
        <w:spacing w:before="0" w:after="0"/>
        <w:jc w:val="left"/>
        <w:rPr/>
      </w:pPr>
      <w:r>
        <w:rPr/>
      </w:r>
    </w:p>
    <w:p>
      <w:pPr>
        <w:pStyle w:val="PreformattedText"/>
        <w:bidi w:val="0"/>
        <w:spacing w:before="0" w:after="0"/>
        <w:jc w:val="left"/>
        <w:rPr/>
      </w:pPr>
      <w:r>
        <w:rPr/>
        <w:t>Bottom line: The complaint has genuine merit, especially on the disability discrimination and duty of care grounds. It is worth pursuing even if the immediate eviction cannot be stopped, because the OIA can recommend financial redress and policy changes. But it will not solve the 18 May deadline. The complaint should be submitted urgently (within 5 days) to preserve the internal process timeline.</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Escalation Roadmap</w:t>
      </w:r>
    </w:p>
    <w:p>
      <w:pPr>
        <w:pStyle w:val="PreformattedText"/>
        <w:bidi w:val="0"/>
        <w:spacing w:before="0" w:after="0"/>
        <w:jc w:val="left"/>
        <w:rPr/>
      </w:pPr>
      <w:r>
        <w:rPr/>
      </w:r>
    </w:p>
    <w:p>
      <w:pPr>
        <w:pStyle w:val="PreformattedText"/>
        <w:bidi w:val="0"/>
        <w:spacing w:before="0" w:after="0"/>
        <w:jc w:val="left"/>
        <w:rPr/>
      </w:pPr>
      <w:r>
        <w:rPr/>
        <w:t>**Stage 1: Informal negotiation with Brydon Connolly (Accommodation Manager)**</w:t>
      </w:r>
    </w:p>
    <w:p>
      <w:pPr>
        <w:pStyle w:val="PreformattedText"/>
        <w:bidi w:val="0"/>
        <w:spacing w:before="0" w:after="0"/>
        <w:jc w:val="left"/>
        <w:rPr/>
      </w:pPr>
      <w:r>
        <w:rPr/>
        <w:t>- Action: Phone call and follow-up email (scripts already prepared in earlier artifacts)</w:t>
      </w:r>
    </w:p>
    <w:p>
      <w:pPr>
        <w:pStyle w:val="PreformattedText"/>
        <w:bidi w:val="0"/>
        <w:spacing w:before="0" w:after="0"/>
        <w:jc w:val="left"/>
        <w:rPr/>
      </w:pPr>
      <w:r>
        <w:rPr/>
        <w:t>- Ask for: Pause on the 18 May NTQ deadline, negotiated surrender of tenancy with arrears write-off, no action against guarantor</w:t>
      </w:r>
    </w:p>
    <w:p>
      <w:pPr>
        <w:pStyle w:val="PreformattedText"/>
        <w:bidi w:val="0"/>
        <w:spacing w:before="0" w:after="0"/>
        <w:jc w:val="left"/>
        <w:rPr/>
      </w:pPr>
      <w:r>
        <w:rPr/>
        <w:t>- Timeline: Immediate - before 9 May finance deadline</w:t>
      </w:r>
    </w:p>
    <w:p>
      <w:pPr>
        <w:pStyle w:val="PreformattedText"/>
        <w:bidi w:val="0"/>
        <w:spacing w:before="0" w:after="0"/>
        <w:jc w:val="left"/>
        <w:rPr/>
      </w:pPr>
      <w:r>
        <w:rPr/>
        <w:t>- If successful: Confirm in writing, proceed to formal complaint to secure written undertakings</w:t>
      </w:r>
    </w:p>
    <w:p>
      <w:pPr>
        <w:pStyle w:val="PreformattedText"/>
        <w:bidi w:val="0"/>
        <w:spacing w:before="0" w:after="0"/>
        <w:jc w:val="left"/>
        <w:rPr/>
      </w:pPr>
      <w:r>
        <w:rPr/>
        <w:t>- If unsuccessful: Move to Stage 2</w:t>
      </w:r>
    </w:p>
    <w:p>
      <w:pPr>
        <w:pStyle w:val="PreformattedText"/>
        <w:bidi w:val="0"/>
        <w:spacing w:before="0" w:after="0"/>
        <w:jc w:val="left"/>
        <w:rPr/>
      </w:pPr>
      <w:r>
        <w:rPr/>
      </w:r>
    </w:p>
    <w:p>
      <w:pPr>
        <w:pStyle w:val="PreformattedText"/>
        <w:bidi w:val="0"/>
        <w:spacing w:before="0" w:after="0"/>
        <w:jc w:val="left"/>
        <w:rPr/>
      </w:pPr>
      <w:r>
        <w:rPr/>
        <w:t>**Stage 2: Formal complaint to Accommodation Manager / Student Accommodation Team**</w:t>
      </w:r>
    </w:p>
    <w:p>
      <w:pPr>
        <w:pStyle w:val="PreformattedText"/>
        <w:bidi w:val="0"/>
        <w:spacing w:before="0" w:after="0"/>
        <w:jc w:val="left"/>
        <w:rPr/>
      </w:pPr>
      <w:r>
        <w:rPr/>
        <w:t>- Action: Submit formal complaint letter (draft already prepared in earlier artifacts)</w:t>
      </w:r>
    </w:p>
    <w:p>
      <w:pPr>
        <w:pStyle w:val="PreformattedText"/>
        <w:bidi w:val="0"/>
        <w:spacing w:before="0" w:after="0"/>
        <w:jc w:val="left"/>
        <w:rPr/>
      </w:pPr>
      <w:r>
        <w:rPr/>
        <w:t>- Grounds: Equality Act 2010 (Sections 15, 20-21, 29, 149), duty of care, procedural unfairness, disproportionate enforcement</w:t>
      </w:r>
    </w:p>
    <w:p>
      <w:pPr>
        <w:pStyle w:val="PreformattedText"/>
        <w:bidi w:val="0"/>
        <w:spacing w:before="0" w:after="0"/>
        <w:jc w:val="left"/>
        <w:rPr/>
      </w:pPr>
      <w:r>
        <w:rPr/>
        <w:t>- Timeline: Submit within 5 days of failed negotiation (by around 13-15 May)</w:t>
      </w:r>
    </w:p>
    <w:p>
      <w:pPr>
        <w:pStyle w:val="PreformattedText"/>
        <w:bidi w:val="0"/>
        <w:spacing w:before="0" w:after="0"/>
        <w:jc w:val="left"/>
        <w:rPr/>
      </w:pPr>
      <w:r>
        <w:rPr/>
        <w:t>- University response expected within 10 working days</w:t>
      </w:r>
    </w:p>
    <w:p>
      <w:pPr>
        <w:pStyle w:val="PreformattedText"/>
        <w:bidi w:val="0"/>
        <w:spacing w:before="0" w:after="0"/>
        <w:jc w:val="left"/>
        <w:rPr/>
      </w:pPr>
      <w:r>
        <w:rPr/>
        <w:t>- If response is satisfactory: Accept and implement</w:t>
      </w:r>
    </w:p>
    <w:p>
      <w:pPr>
        <w:pStyle w:val="PreformattedText"/>
        <w:bidi w:val="0"/>
        <w:spacing w:before="0" w:after="0"/>
        <w:jc w:val="left"/>
        <w:rPr/>
      </w:pPr>
      <w:r>
        <w:rPr/>
        <w:t>- If response is unsatisfactory or not received: Move to Stage 3</w:t>
      </w:r>
    </w:p>
    <w:p>
      <w:pPr>
        <w:pStyle w:val="PreformattedText"/>
        <w:bidi w:val="0"/>
        <w:spacing w:before="0" w:after="0"/>
        <w:jc w:val="left"/>
        <w:rPr/>
      </w:pPr>
      <w:r>
        <w:rPr/>
      </w:r>
    </w:p>
    <w:p>
      <w:pPr>
        <w:pStyle w:val="PreformattedText"/>
        <w:bidi w:val="0"/>
        <w:spacing w:before="0" w:after="0"/>
        <w:jc w:val="left"/>
        <w:rPr/>
      </w:pPr>
      <w:r>
        <w:rPr/>
        <w:t>**Stage 3: Escalation to Head of Student Services**</w:t>
      </w:r>
    </w:p>
    <w:p>
      <w:pPr>
        <w:pStyle w:val="PreformattedText"/>
        <w:bidi w:val="0"/>
        <w:spacing w:before="0" w:after="0"/>
        <w:jc w:val="left"/>
        <w:rPr/>
      </w:pPr>
      <w:r>
        <w:rPr/>
        <w:t>- Action: Request review of complaint by Head of Student Services</w:t>
      </w:r>
    </w:p>
    <w:p>
      <w:pPr>
        <w:pStyle w:val="PreformattedText"/>
        <w:bidi w:val="0"/>
        <w:spacing w:before="0" w:after="0"/>
        <w:jc w:val="left"/>
        <w:rPr/>
      </w:pPr>
      <w:r>
        <w:rPr/>
        <w:t>- Timeline: Immediately after unsatisfactory Stage 2 response (or after 10 working days with no response)</w:t>
      </w:r>
    </w:p>
    <w:p>
      <w:pPr>
        <w:pStyle w:val="PreformattedText"/>
        <w:bidi w:val="0"/>
        <w:spacing w:before="0" w:after="0"/>
        <w:jc w:val="left"/>
        <w:rPr/>
      </w:pPr>
      <w:r>
        <w:rPr/>
        <w:t>- If still unresolved: Move to Stage 4</w:t>
      </w:r>
    </w:p>
    <w:p>
      <w:pPr>
        <w:pStyle w:val="PreformattedText"/>
        <w:bidi w:val="0"/>
        <w:spacing w:before="0" w:after="0"/>
        <w:jc w:val="left"/>
        <w:rPr/>
      </w:pPr>
      <w:r>
        <w:rPr/>
      </w:r>
    </w:p>
    <w:p>
      <w:pPr>
        <w:pStyle w:val="PreformattedText"/>
        <w:bidi w:val="0"/>
        <w:spacing w:before="0" w:after="0"/>
        <w:jc w:val="left"/>
        <w:rPr/>
      </w:pPr>
      <w:r>
        <w:rPr/>
        <w:t>**Stage 4: Escalation to University Secretary**</w:t>
      </w:r>
    </w:p>
    <w:p>
      <w:pPr>
        <w:pStyle w:val="PreformattedText"/>
        <w:bidi w:val="0"/>
        <w:spacing w:before="0" w:after="0"/>
        <w:jc w:val="left"/>
        <w:rPr/>
      </w:pPr>
      <w:r>
        <w:rPr/>
        <w:t>- Action: Final internal appeal to University Secretary</w:t>
      </w:r>
    </w:p>
    <w:p>
      <w:pPr>
        <w:pStyle w:val="PreformattedText"/>
        <w:bidi w:val="0"/>
        <w:spacing w:before="0" w:after="0"/>
        <w:jc w:val="left"/>
        <w:rPr/>
      </w:pPr>
      <w:r>
        <w:rPr/>
        <w:t>- This is the last internal stage before external ombudsman</w:t>
      </w:r>
    </w:p>
    <w:p>
      <w:pPr>
        <w:pStyle w:val="PreformattedText"/>
        <w:bidi w:val="0"/>
        <w:spacing w:before="0" w:after="0"/>
        <w:jc w:val="left"/>
        <w:rPr/>
      </w:pPr>
      <w:r>
        <w:rPr/>
        <w:t>- Timeline: Within 10 working days of Stage 3 response</w:t>
      </w:r>
    </w:p>
    <w:p>
      <w:pPr>
        <w:pStyle w:val="PreformattedText"/>
        <w:bidi w:val="0"/>
        <w:spacing w:before="0" w:after="0"/>
        <w:jc w:val="left"/>
        <w:rPr/>
      </w:pPr>
      <w:r>
        <w:rPr/>
        <w:t>- If still unresolved: Move to Stage 5</w:t>
      </w:r>
    </w:p>
    <w:p>
      <w:pPr>
        <w:pStyle w:val="PreformattedText"/>
        <w:bidi w:val="0"/>
        <w:spacing w:before="0" w:after="0"/>
        <w:jc w:val="left"/>
        <w:rPr/>
      </w:pPr>
      <w:r>
        <w:rPr/>
      </w:r>
    </w:p>
    <w:p>
      <w:pPr>
        <w:pStyle w:val="PreformattedText"/>
        <w:bidi w:val="0"/>
        <w:spacing w:before="0" w:after="0"/>
        <w:jc w:val="left"/>
        <w:rPr/>
      </w:pPr>
      <w:r>
        <w:rPr/>
        <w:t>**Stage 5: Office of the Independent Adjudicator (OIA)**</w:t>
      </w:r>
    </w:p>
    <w:p>
      <w:pPr>
        <w:pStyle w:val="PreformattedText"/>
        <w:bidi w:val="0"/>
        <w:spacing w:before="0" w:after="0"/>
        <w:jc w:val="left"/>
        <w:rPr/>
      </w:pPr>
      <w:r>
        <w:rPr/>
        <w:t>- Action: Submit complaint to OIA</w:t>
      </w:r>
    </w:p>
    <w:p>
      <w:pPr>
        <w:pStyle w:val="PreformattedText"/>
        <w:bidi w:val="0"/>
        <w:spacing w:before="0" w:after="0"/>
        <w:jc w:val="left"/>
        <w:rPr/>
      </w:pPr>
      <w:r>
        <w:rPr/>
        <w:t>- Eligibility: Must have exhausted internal complaints process. Must be within 12 months of the issue.</w:t>
      </w:r>
    </w:p>
    <w:p>
      <w:pPr>
        <w:pStyle w:val="PreformattedText"/>
        <w:bidi w:val="0"/>
        <w:spacing w:before="0" w:after="0"/>
        <w:jc w:val="left"/>
        <w:rPr/>
      </w:pPr>
      <w:r>
        <w:rPr/>
        <w:t>- What OIA can do: Recommend financial redress (up to £250,000 for loss of opportunity, plus compensation for distress), policy changes, apology</w:t>
      </w:r>
    </w:p>
    <w:p>
      <w:pPr>
        <w:pStyle w:val="PreformattedText"/>
        <w:bidi w:val="0"/>
        <w:spacing w:before="0" w:after="0"/>
        <w:jc w:val="left"/>
        <w:rPr/>
      </w:pPr>
      <w:r>
        <w:rPr/>
        <w:t>- What OIA cannot do: Overturn the eviction or stop the NTQ. It can recommend compensation but not reverse contractual decisions.</w:t>
      </w:r>
    </w:p>
    <w:p>
      <w:pPr>
        <w:pStyle w:val="PreformattedText"/>
        <w:bidi w:val="0"/>
        <w:spacing w:before="0" w:after="0"/>
        <w:jc w:val="left"/>
        <w:rPr/>
      </w:pPr>
      <w:r>
        <w:rPr/>
        <w:t>- Timeline: OIA process takes several months. Submit as soon as internal process is exhausted.</w:t>
      </w:r>
    </w:p>
    <w:p>
      <w:pPr>
        <w:pStyle w:val="PreformattedText"/>
        <w:bidi w:val="0"/>
        <w:spacing w:before="0" w:after="0"/>
        <w:jc w:val="left"/>
        <w:rPr/>
      </w:pPr>
      <w:r>
        <w:rPr/>
        <w:t>- Note: The OIA complaint can run</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ans" w:cs="FreeSans"/>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