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expérience"/>
    <w:p>
      <w:pPr>
        <w:pStyle w:val="Heading1"/>
      </w:pPr>
      <w:r>
        <w:t xml:space="preserve">Expérience</w:t>
      </w:r>
    </w:p>
    <w:p>
      <w:pPr>
        <w:pStyle w:val="FirstParagraph"/>
      </w:pPr>
      <w:r>
        <w:t xml:space="preserve">2022 -</w:t>
      </w:r>
      <w:r>
        <w:t xml:space="preserve"> </w:t>
      </w:r>
      <w:r>
        <w:t xml:space="preserve">Présent</w:t>
      </w:r>
      <w:r>
        <w:t xml:space="preserve"> </w:t>
      </w:r>
      <w:r>
        <w:t xml:space="preserve">Architecte Cloud, Intégration (DevSecOps)</w:t>
      </w:r>
      <w:r>
        <w:t xml:space="preserve"> </w:t>
      </w:r>
      <w:hyperlink r:id="rId20">
        <w:r>
          <w:rPr>
            <w:rStyle w:val="Hyperlink"/>
          </w:rPr>
          <w:t xml:space="preserve">Jus Mundi</w:t>
        </w:r>
      </w:hyperlink>
      <w:r>
        <w:t xml:space="preserve"> </w:t>
      </w:r>
      <w:r>
        <w:t xml:space="preserve">Paris, France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Mission :</w:t>
      </w:r>
      <w:r>
        <w:t xml:space="preserve"> </w:t>
      </w:r>
      <w:r>
        <w:t xml:space="preserve">Transition IA et hébergement du site pour la plateforme droit international &amp; arbitrage (jusmundi.com)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Sécurité infrastructure :</w:t>
      </w:r>
      <w:r>
        <w:t xml:space="preserve"> </w:t>
      </w:r>
      <w:r>
        <w:t xml:space="preserve">Analyse de vulnérabilités, gestion des secrets, contrôles d’accès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Conteneurisation &amp; Kubernetes :</w:t>
      </w:r>
      <w:r>
        <w:t xml:space="preserve"> </w:t>
      </w:r>
      <w:r>
        <w:t xml:space="preserve">Images Docker, clusters K8s en production (réseau, stockage, supervision)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SDLC :</w:t>
      </w:r>
      <w:r>
        <w:t xml:space="preserve"> </w:t>
      </w:r>
      <w:r>
        <w:t xml:space="preserve">Standardisation des processus, indicateurs qualité, coordination inter-équipes avec Dev et Data Science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Stack :</w:t>
      </w:r>
      <w:r>
        <w:t xml:space="preserve"> </w:t>
      </w:r>
      <w:r>
        <w:t xml:space="preserve">Microservices en Python, Go, Nuxt, PHP ; IA JusMundi et recherche optimisée pour le contenu juridique international</w:t>
      </w:r>
    </w:p>
    <w:p>
      <w:pPr>
        <w:numPr>
          <w:ilvl w:val="0"/>
          <w:numId w:val="1001"/>
        </w:numPr>
      </w:pPr>
      <w:r>
        <w:t xml:space="preserve">Continuité d’activité, exigences de sécurité élevées, accompagnement du déploiement IA (Engineering et Data Science)</w:t>
      </w:r>
    </w:p>
    <w:p>
      <w:pPr>
        <w:pStyle w:val="FirstParagraph"/>
      </w:pPr>
      <w:r>
        <w:br/>
      </w:r>
      <w:r>
        <w:t xml:space="preserve">2012 -</w:t>
      </w:r>
      <w:r>
        <w:t xml:space="preserve"> </w:t>
      </w:r>
      <w:r>
        <w:t xml:space="preserve">2022</w:t>
      </w:r>
      <w:r>
        <w:t xml:space="preserve"> </w:t>
      </w:r>
      <w:r>
        <w:t xml:space="preserve">Architecte Intégration Cloud</w:t>
      </w:r>
      <w:r>
        <w:t xml:space="preserve"> </w:t>
      </w:r>
      <w:hyperlink r:id="rId21">
        <w:r>
          <w:rPr>
            <w:rStyle w:val="Hyperlink"/>
          </w:rPr>
          <w:t xml:space="preserve">Finastra</w:t>
        </w:r>
      </w:hyperlink>
      <w:r>
        <w:t xml:space="preserve"> </w:t>
      </w:r>
      <w:r>
        <w:t xml:space="preserve">(ex-Misys / Thomson Reuters)</w:t>
      </w:r>
      <w:r>
        <w:t xml:space="preserve"> </w:t>
      </w:r>
      <w:r>
        <w:t xml:space="preserve">Paris, France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Mission :</w:t>
      </w:r>
      <w:r>
        <w:t xml:space="preserve"> </w:t>
      </w:r>
      <w:r>
        <w:t xml:space="preserve">Transformation digitale et migration cloud — Trésorerie &amp; Marchés de capitaux (finastra.com)</w:t>
      </w:r>
    </w:p>
    <w:p>
      <w:pPr>
        <w:numPr>
          <w:ilvl w:val="0"/>
          <w:numId w:val="1002"/>
        </w:numPr>
      </w:pPr>
      <w:r>
        <w:t xml:space="preserve">Mise en place de l’intégration continue et de l’automatisation</w:t>
      </w:r>
    </w:p>
    <w:p>
      <w:pPr>
        <w:numPr>
          <w:ilvl w:val="0"/>
          <w:numId w:val="1002"/>
        </w:numPr>
      </w:pPr>
      <w:r>
        <w:t xml:space="preserve">Déploiement des pipelines Jenkins et Ansible ; réduction de 60 % des incidents d’intégration</w:t>
      </w:r>
    </w:p>
    <w:p>
      <w:pPr>
        <w:numPr>
          <w:ilvl w:val="0"/>
          <w:numId w:val="1002"/>
        </w:numPr>
      </w:pPr>
      <w:r>
        <w:t xml:space="preserve">Sécurité : SAST/DAST, Klocwork, Fuzzing, détection de secrets, gestion des vulnérabilités</w:t>
      </w:r>
    </w:p>
    <w:p>
      <w:pPr>
        <w:numPr>
          <w:ilvl w:val="0"/>
          <w:numId w:val="1002"/>
        </w:numPr>
      </w:pPr>
      <w:r>
        <w:t xml:space="preserve">Collaboration avec les équipes développement, QA et opérations pour les bonnes pratiques DevSecOps</w:t>
      </w:r>
    </w:p>
    <w:p>
      <w:pPr>
        <w:pStyle w:val="FirstParagraph"/>
      </w:pPr>
      <w:r>
        <w:br/>
      </w:r>
      <w:r>
        <w:t xml:space="preserve">2007 -</w:t>
      </w:r>
      <w:r>
        <w:t xml:space="preserve"> </w:t>
      </w:r>
      <w:r>
        <w:t xml:space="preserve">2012</w:t>
      </w:r>
      <w:r>
        <w:t xml:space="preserve"> </w:t>
      </w:r>
      <w:r>
        <w:t xml:space="preserve">Ingénieur Logiciel Senior</w:t>
      </w:r>
      <w:r>
        <w:t xml:space="preserve"> </w:t>
      </w:r>
      <w:hyperlink r:id="rId21">
        <w:r>
          <w:rPr>
            <w:rStyle w:val="Hyperlink"/>
          </w:rPr>
          <w:t xml:space="preserve">Finastra</w:t>
        </w:r>
      </w:hyperlink>
      <w:r>
        <w:t xml:space="preserve"> </w:t>
      </w:r>
      <w:r>
        <w:t xml:space="preserve">Paris, France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Mission :</w:t>
      </w:r>
      <w:r>
        <w:t xml:space="preserve"> </w:t>
      </w:r>
      <w:r>
        <w:t xml:space="preserve">Modules stock et comptabilité — Kondor+ Back-Office (K+TP)</w:t>
      </w:r>
    </w:p>
    <w:p>
      <w:pPr>
        <w:numPr>
          <w:ilvl w:val="0"/>
          <w:numId w:val="1003"/>
        </w:numPr>
      </w:pPr>
      <w:r>
        <w:t xml:space="preserve">Architecture 3 tiers : services métier C++, Java J2EE, middleware CORBA</w:t>
      </w:r>
    </w:p>
    <w:p>
      <w:pPr>
        <w:numPr>
          <w:ilvl w:val="0"/>
          <w:numId w:val="1003"/>
        </w:numPr>
      </w:pPr>
      <w:r>
        <w:t xml:space="preserve">Gestion des stocks en temps réel ; génération automatique des écritures bilancielles et hors bilan (conformité réglementaire)</w:t>
      </w:r>
    </w:p>
    <w:p>
      <w:pPr>
        <w:numPr>
          <w:ilvl w:val="0"/>
          <w:numId w:val="1003"/>
        </w:numPr>
      </w:pPr>
      <w:r>
        <w:t xml:space="preserve">Optimisation des performances pour le traitement à fort volume</w:t>
      </w:r>
    </w:p>
    <w:p>
      <w:pPr>
        <w:pStyle w:val="FirstParagraph"/>
      </w:pPr>
      <w:r>
        <w:br/>
      </w:r>
      <w:r>
        <w:t xml:space="preserve">2005 -</w:t>
      </w:r>
      <w:r>
        <w:t xml:space="preserve"> </w:t>
      </w:r>
      <w:r>
        <w:t xml:space="preserve">2010</w:t>
      </w:r>
      <w:r>
        <w:t xml:space="preserve"> </w:t>
      </w:r>
      <w:r>
        <w:t xml:space="preserve">Ingénieur Logiciel</w:t>
      </w:r>
      <w:r>
        <w:t xml:space="preserve"> </w:t>
      </w:r>
      <w:r>
        <w:t xml:space="preserve">Société Générale Corporate &amp; Investment Banking (via ESN)</w:t>
      </w:r>
      <w:r>
        <w:t xml:space="preserve"> </w:t>
      </w:r>
      <w:r>
        <w:t xml:space="preserve">Paris, France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Mission :</w:t>
      </w:r>
      <w:r>
        <w:t xml:space="preserve"> </w:t>
      </w:r>
      <w:r>
        <w:t xml:space="preserve">Systèmes d’information back-office (EOLE, GATE)</w:t>
      </w:r>
    </w:p>
    <w:p>
      <w:pPr>
        <w:numPr>
          <w:ilvl w:val="0"/>
          <w:numId w:val="1004"/>
        </w:numPr>
      </w:pPr>
      <w:r>
        <w:t xml:space="preserve">Développement et maintenance en C, PL/SQL, Java ; migration Oracle 8i vers 10g ; migration True64 vers Sun Solaris</w:t>
      </w:r>
    </w:p>
    <w:p>
      <w:pPr>
        <w:numPr>
          <w:ilvl w:val="0"/>
          <w:numId w:val="1004"/>
        </w:numPr>
      </w:pPr>
      <w:r>
        <w:t xml:space="preserve">Support niveau 2, gestion des incidents de production, analyse des besoins avec les analystes métier</w:t>
      </w:r>
    </w:p>
    <w:bookmarkEnd w:id="22"/>
    <w:bookmarkStart w:id="23" w:name="langues"/>
    <w:p>
      <w:pPr>
        <w:pStyle w:val="Heading1"/>
      </w:pPr>
      <w:r>
        <w:t xml:space="preserve">Langues</w:t>
      </w:r>
    </w:p>
    <w:p>
      <w:pPr>
        <w:pStyle w:val="FirstParagraph"/>
      </w:pPr>
      <w:r>
        <w:rPr>
          <w:bCs/>
          <w:b/>
        </w:rPr>
        <w:t xml:space="preserve">Français</w:t>
      </w:r>
      <w:r>
        <w:t xml:space="preserve"> </w:t>
      </w:r>
      <w:r>
        <w:t xml:space="preserve">— Langue maternelle |</w:t>
      </w:r>
      <w:r>
        <w:t xml:space="preserve"> </w:t>
      </w:r>
      <w:r>
        <w:rPr>
          <w:bCs/>
          <w:b/>
        </w:rPr>
        <w:t xml:space="preserve">Anglais</w:t>
      </w:r>
      <w:r>
        <w:t xml:space="preserve"> </w:t>
      </w:r>
      <w:r>
        <w:t xml:space="preserve">— Professionnel (TOEIC 750)</w:t>
      </w:r>
    </w:p>
    <w:bookmarkEnd w:id="23"/>
    <w:bookmarkStart w:id="24" w:name="informations-complémentaires"/>
    <w:p>
      <w:pPr>
        <w:pStyle w:val="Heading1"/>
      </w:pPr>
      <w:r>
        <w:t xml:space="preserve">Informations complémentaires</w:t>
      </w:r>
    </w:p>
    <w:p>
      <w:pPr>
        <w:pStyle w:val="FirstParagraph"/>
      </w:pPr>
      <w:r>
        <w:t xml:space="preserve">Disponibilité : ouvert aux missions en conseil et en contrat. Autorisation de travail : France et UE. Expérience du télétravail et des équipes distribuées. Mobilité envisageable (ex. Francfort).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finastra.com" TargetMode="External" /><Relationship Type="http://schemas.openxmlformats.org/officeDocument/2006/relationships/hyperlink" Id="rId20" Target="https://www.jusmundi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finastra.com" TargetMode="External" /><Relationship Type="http://schemas.openxmlformats.org/officeDocument/2006/relationships/hyperlink" Id="rId20" Target="https://www.jusmund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2026-04-29T09:36:59Z</dcterms:created>
  <dcterms:modified xsi:type="dcterms:W3CDTF">2026-04-29T09:36:59Z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