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cs="Arial" w:ascii="Arial" w:hAnsi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1 parte da Lista de Exercícios – Macroeconomia – 2 Bi.</w:t>
      </w:r>
    </w:p>
    <w:p>
      <w:pPr>
        <w:pStyle w:val="Normal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1. Quando o Banco Central deseja possibilitar maior desenvolvimento empresarial, ele irá adotar uma Política Monetária Expansiva, valendo-se de medidas como:</w:t>
      </w:r>
    </w:p>
    <w:p>
      <w:pPr>
        <w:pStyle w:val="Normal"/>
        <w:rPr>
          <w:rFonts w:cs="Arial" w:ascii="Arial" w:hAnsi="Arial"/>
          <w:b/>
          <w:bCs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a) venda de títulos públicos. b) elevação da taxa de juros. c) elevação do recolhimento compulsório. d) redução das linhas de crédito. </w:t>
      </w:r>
      <w:r>
        <w:rPr>
          <w:rFonts w:cs="Arial" w:ascii="Arial" w:hAnsi="Arial"/>
          <w:b/>
          <w:bCs/>
          <w:sz w:val="20"/>
          <w:szCs w:val="20"/>
        </w:rPr>
        <w:t>e) redução das taxas de juros.</w:t>
      </w:r>
    </w:p>
    <w:p>
      <w:pPr>
        <w:pStyle w:val="Normal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2. Constituem políticas monetárias contracionistas:</w:t>
      </w:r>
    </w:p>
    <w:p>
      <w:pPr>
        <w:pStyle w:val="Normal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a) diminuição dos impostos e diminuição das reservas compulsórias.</w:t>
      </w:r>
    </w:p>
    <w:p>
      <w:pPr>
        <w:pStyle w:val="Normal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b) diminuição na taxa de redesconto e compra de títulos no mercado aberto.</w:t>
      </w:r>
    </w:p>
    <w:p>
      <w:pPr>
        <w:pStyle w:val="Normal"/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</w:rPr>
        <w:t>c) diminuição na taxa de redesconto e venda de títulos no mercado aberto.</w:t>
      </w:r>
    </w:p>
    <w:p>
      <w:pPr>
        <w:pStyle w:val="Normal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d) diminuição dos impostos e aumento das reservas compulsórias.</w:t>
      </w:r>
    </w:p>
    <w:p>
      <w:pPr>
        <w:pStyle w:val="Normal"/>
        <w:rPr>
          <w:rFonts w:cs="Arial" w:ascii="Arial" w:hAnsi="Arial"/>
          <w:b/>
          <w:bCs/>
          <w:i w:val="false"/>
          <w:iCs w:val="false"/>
          <w:sz w:val="20"/>
          <w:szCs w:val="20"/>
        </w:rPr>
      </w:pPr>
      <w:r>
        <w:rPr>
          <w:rFonts w:cs="Arial" w:ascii="Arial" w:hAnsi="Arial"/>
          <w:b/>
          <w:bCs/>
          <w:i w:val="false"/>
          <w:iCs w:val="false"/>
          <w:sz w:val="20"/>
          <w:szCs w:val="20"/>
        </w:rPr>
        <w:t>e) aumento na taxa de redesconto e aumento das reservas compulsórias.</w:t>
      </w:r>
    </w:p>
    <w:p>
      <w:pPr>
        <w:pStyle w:val="Normal"/>
        <w:rPr>
          <w:rFonts w:cs="Arial" w:ascii="Arial" w:hAnsi="Arial"/>
          <w:b/>
          <w:bCs/>
          <w:i w:val="false"/>
          <w:iCs w:val="false"/>
          <w:sz w:val="20"/>
          <w:szCs w:val="20"/>
        </w:rPr>
      </w:pPr>
      <w:r>
        <w:rPr>
          <w:rFonts w:cs="Arial" w:ascii="Arial" w:hAnsi="Arial"/>
          <w:b/>
          <w:bCs/>
          <w:i w:val="false"/>
          <w:iCs w:val="false"/>
          <w:sz w:val="20"/>
          <w:szCs w:val="20"/>
        </w:rPr>
      </w:r>
    </w:p>
    <w:p>
      <w:pPr>
        <w:pStyle w:val="Normal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3. Cite quais são as medidas expansionistas de política monetária, adotadas pelo governo:</w:t>
      </w:r>
    </w:p>
    <w:p>
      <w:pPr>
        <w:pStyle w:val="Normal"/>
        <w:rPr>
          <w:rFonts w:cs="Arial" w:ascii="Arial" w:hAnsi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Ampliação do crédito, redução das taxas de juros, redução da taxa de reservas compulsórias, compra de títulos (open market);</w:t>
      </w:r>
    </w:p>
    <w:p>
      <w:pPr>
        <w:pStyle w:val="Normal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4. Uma redução dos gastos do governo significa:</w:t>
      </w:r>
    </w:p>
    <w:p>
      <w:pPr>
        <w:pStyle w:val="Normal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a) Um aumento da demanda agregada e, consequentemente, uma queda no Produto Nacional de equilíbrio.</w:t>
      </w:r>
    </w:p>
    <w:p>
      <w:pPr>
        <w:pStyle w:val="Normal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b) Um aumento da demanda agregada e, consequentemente, um aumento no Produto Nacional de equilíbrio.</w:t>
      </w:r>
    </w:p>
    <w:p>
      <w:pPr>
        <w:pStyle w:val="Normal"/>
        <w:rPr>
          <w:rFonts w:cs="Arial" w:ascii="Arial" w:hAnsi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c) Uma redução da demanda agregada e, consequentemente, uma queda no Produto Nacional de equilíbrio.</w:t>
      </w:r>
    </w:p>
    <w:p>
      <w:pPr>
        <w:pStyle w:val="Normal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d) Uma redução da demanda agregada e, consequentemente, uma alta no Produto Nacional de equilíbrio.</w:t>
      </w:r>
    </w:p>
    <w:p>
      <w:pPr>
        <w:pStyle w:val="Normal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5. Assinale a alternativa correta.</w:t>
      </w:r>
    </w:p>
    <w:p>
      <w:pPr>
        <w:pStyle w:val="Normal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a) em todas as épocas, todos os grupamentos humanos se utilizaram de alguma forma de moeda, mesmo em sua forma mais primitiva.</w:t>
      </w:r>
    </w:p>
    <w:p>
      <w:pPr>
        <w:pStyle w:val="Normal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b) qualquer bem podia ser usado como moeda na época em que as sociedades usavam moeda mercadoria.</w:t>
      </w:r>
    </w:p>
    <w:p>
      <w:pPr>
        <w:pStyle w:val="Normal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c) as cédulas foram a primeira forma de moeda.</w:t>
      </w:r>
    </w:p>
    <w:p>
      <w:pPr>
        <w:pStyle w:val="Normal"/>
        <w:rPr>
          <w:rFonts w:cs="Arial" w:ascii="Arial" w:hAnsi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d) a utilização de algum tipo de moeda se deu a partir da divisão do trabalho.</w:t>
      </w:r>
    </w:p>
    <w:p>
      <w:pPr>
        <w:pStyle w:val="Normal"/>
        <w:rPr>
          <w:rFonts w:cs="Arial" w:ascii="Arial" w:hAnsi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6. Quanto à moeda fiduciária é correto afirmar que:</w:t>
      </w:r>
    </w:p>
    <w:p>
      <w:pPr>
        <w:pStyle w:val="Normal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a) tem 100% de lastro.</w:t>
      </w:r>
    </w:p>
    <w:p>
      <w:pPr>
        <w:pStyle w:val="Normal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b) desde seu aparecimento foi emitida exclusivamente pelo governo.</w:t>
      </w:r>
    </w:p>
    <w:p>
      <w:pPr>
        <w:pStyle w:val="Normal"/>
        <w:rPr>
          <w:rFonts w:cs="Arial" w:ascii="Arial" w:hAnsi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c) é também chamada de papel-moeda.</w:t>
      </w:r>
    </w:p>
    <w:p>
      <w:pPr>
        <w:pStyle w:val="Normal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d) no seu primeiro estágio possuía 100% de lastro, mas não se garantia sua conversibilidade.</w:t>
      </w:r>
    </w:p>
    <w:p>
      <w:pPr>
        <w:pStyle w:val="Normal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7. Chama-se moeda-papel:</w:t>
      </w:r>
    </w:p>
    <w:p>
      <w:pPr>
        <w:pStyle w:val="Normal"/>
        <w:rPr>
          <w:rFonts w:cs="Arial" w:ascii="Arial" w:hAnsi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a) à moeda representativa, emitida por casas de custódia, com 100% de lastro e plena conversibilidade.</w:t>
      </w:r>
    </w:p>
    <w:p>
      <w:pPr>
        <w:pStyle w:val="Normal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b) à moeda fiduciária, emitida por casas de custódia com plena conversibilidade.</w:t>
      </w:r>
    </w:p>
    <w:p>
      <w:pPr>
        <w:pStyle w:val="Normal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c) à moeda bancária.</w:t>
      </w:r>
    </w:p>
    <w:p>
      <w:pPr>
        <w:pStyle w:val="Normal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d) à moeda representativa, com lastro inferior a 100% e plena conversibilidade</w:t>
      </w:r>
    </w:p>
    <w:p>
      <w:pPr>
        <w:pStyle w:val="Normal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8. São funções da moeda:</w:t>
      </w:r>
    </w:p>
    <w:p>
      <w:pPr>
        <w:pStyle w:val="Normal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a) durabilidade e facilidade de manuseio e transporte,</w:t>
      </w:r>
    </w:p>
    <w:p>
      <w:pPr>
        <w:pStyle w:val="Normal"/>
        <w:rPr>
          <w:rFonts w:cs="Arial" w:ascii="Arial" w:hAnsi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b) instrumento de troca, medida de valor e reserva de valor.</w:t>
      </w:r>
    </w:p>
    <w:p>
      <w:pPr>
        <w:pStyle w:val="Normal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c) instrumento de troca, medida de valor e homogeneidade.</w:t>
      </w:r>
    </w:p>
    <w:p>
      <w:pPr>
        <w:pStyle w:val="Normal"/>
        <w:rPr>
          <w:rFonts w:cs="Arial" w:ascii="Arial" w:hAnsi="Arial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d) durabilidade, divisibilidade e homogeneidade.</w:t>
      </w:r>
    </w:p>
    <w:p>
      <w:pPr>
        <w:pStyle w:val="Normal"/>
        <w:rPr>
          <w:rFonts w:cs="Arial" w:ascii="Arial" w:hAnsi="Arial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9. Pelo conceito ampliado, definido no ano de 2001 pelo Banco Central do Brasil, explique o que significa M</w:t>
      </w:r>
      <w:r>
        <w:rPr>
          <w:rFonts w:cs="Arial" w:ascii="Arial" w:hAnsi="Arial"/>
          <w:sz w:val="16"/>
          <w:szCs w:val="16"/>
        </w:rPr>
        <w:t>1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Normal"/>
        <w:rPr>
          <w:rFonts w:cs="Arial" w:ascii="Arial" w:hAnsi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M1 é a moeda de liquidez imediata, que não rende juros.</w:t>
      </w:r>
    </w:p>
    <w:p>
      <w:pPr>
        <w:pStyle w:val="Normal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10. Dentro os instrumentos abaixo, marque aquele que não se caracteriza como instrumento de política monetária.</w:t>
      </w:r>
    </w:p>
    <w:p>
      <w:pPr>
        <w:pStyle w:val="Normal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a) fixação da taxa dos depósitos compulsórios.</w:t>
      </w:r>
    </w:p>
    <w:p>
      <w:pPr>
        <w:pStyle w:val="Normal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b) operações de redescontos.</w:t>
      </w:r>
    </w:p>
    <w:p>
      <w:pPr>
        <w:pStyle w:val="Normal"/>
        <w:rPr>
          <w:rFonts w:cs="Arial" w:ascii="Arial" w:hAnsi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c) gastos do governo.</w:t>
      </w:r>
    </w:p>
    <w:p>
      <w:pPr>
        <w:pStyle w:val="Normal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d) operações no mercado aberto (open market)</w:t>
      </w:r>
    </w:p>
    <w:p>
      <w:pPr>
        <w:pStyle w:val="Normal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11. Uma política monetária restritiva (contracionista) consolida-se quando o governo:</w:t>
      </w:r>
    </w:p>
    <w:p>
      <w:pPr>
        <w:pStyle w:val="Normal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a) reduz a taxa de compulsório dos bancos comerciais.</w:t>
      </w:r>
    </w:p>
    <w:p>
      <w:pPr>
        <w:pStyle w:val="Normal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b) reduz a taxa de juros para empréstimos de redesconto.</w:t>
      </w:r>
    </w:p>
    <w:p>
      <w:pPr>
        <w:pStyle w:val="Normal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c) reduz as alíquotas do imposto de renda.</w:t>
      </w:r>
    </w:p>
    <w:p>
      <w:pPr>
        <w:pStyle w:val="Normal"/>
        <w:rPr>
          <w:rFonts w:cs="Arial" w:ascii="Arial" w:hAnsi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d) vende títulos da dívida ao público.</w:t>
      </w:r>
    </w:p>
    <w:p>
      <w:pPr>
        <w:pStyle w:val="Normal"/>
        <w:rPr>
          <w:rFonts w:cs="Arial" w:ascii="Arial" w:hAnsi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12. Explique o que ocorre quando o governo compra títulos da dívida pública no mercado ocorre.</w:t>
      </w:r>
    </w:p>
    <w:p>
      <w:pPr>
        <w:pStyle w:val="Normal"/>
        <w:rPr>
          <w:rFonts w:cs="Arial" w:ascii="Arial" w:hAnsi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A compra de títulos por parte do governo faz com que ocorra a criação de meios de pagamento (trabalhos) e um aumento na liquidez da economia.</w:t>
      </w:r>
    </w:p>
    <w:p>
      <w:pPr>
        <w:pStyle w:val="Normal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13. Um aumento do encaixe compulsório dos bancos comerciais determinado pelo BACEN tem como consequência:</w:t>
      </w:r>
    </w:p>
    <w:p>
      <w:pPr>
        <w:pStyle w:val="Normal"/>
        <w:spacing w:before="0" w:after="60"/>
        <w:rPr>
          <w:rFonts w:cs="Arial" w:ascii="Arial" w:hAnsi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O aumento dos depósitos compulsórios reduz os recursos disponíveis que os bancos comerciais têm para emprestar, reduzindo a oferta de moeda. Como consequência dessa restrição, os bancos comerciais se veem obrigados a aumentar a taxa de juros dos empréstimos, acarretando em um aumento na taxa de juros e diminuição da oferta monetária.</w:t>
      </w:r>
      <w:r>
        <w:rPr>
          <w:rFonts w:cs="Arial" w:ascii="Arial" w:hAnsi="Arial"/>
          <w:b/>
          <w:bCs/>
          <w:sz w:val="20"/>
          <w:szCs w:val="20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  <w:jc w:val="both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6c18f1"/>
    <w:pPr>
      <w:widowControl/>
      <w:suppressAutoHyphens w:val="true"/>
      <w:bidi w:val="0"/>
      <w:spacing w:lineRule="auto" w:line="276" w:before="0" w:after="60"/>
      <w:jc w:val="left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nnotationreference">
    <w:name w:val="annotation reference"/>
    <w:uiPriority w:val="99"/>
    <w:semiHidden/>
    <w:unhideWhenUsed/>
    <w:rsid w:val="006979f1"/>
    <w:basedOn w:val="DefaultParagraphFont"/>
    <w:rPr>
      <w:sz w:val="16"/>
      <w:szCs w:val="16"/>
    </w:rPr>
  </w:style>
  <w:style w:type="character" w:styleId="TextodecomentrioChar" w:customStyle="1">
    <w:name w:val="Texto de comentário Char"/>
    <w:uiPriority w:val="99"/>
    <w:semiHidden/>
    <w:link w:val="Textodecomentrio"/>
    <w:rsid w:val="006979f1"/>
    <w:basedOn w:val="DefaultParagraphFont"/>
    <w:rPr>
      <w:sz w:val="20"/>
      <w:szCs w:val="20"/>
    </w:rPr>
  </w:style>
  <w:style w:type="character" w:styleId="AssuntodocomentrioChar" w:customStyle="1">
    <w:name w:val="Assunto do comentário Char"/>
    <w:uiPriority w:val="99"/>
    <w:semiHidden/>
    <w:link w:val="Assuntodocomentrio"/>
    <w:rsid w:val="006979f1"/>
    <w:basedOn w:val="TextodecomentrioChar"/>
    <w:rPr>
      <w:b/>
      <w:bCs/>
    </w:rPr>
  </w:style>
  <w:style w:type="character" w:styleId="TextodebaloChar" w:customStyle="1">
    <w:name w:val="Texto de balão Char"/>
    <w:uiPriority w:val="99"/>
    <w:semiHidden/>
    <w:link w:val="Textodebalo"/>
    <w:rsid w:val="006979f1"/>
    <w:basedOn w:val="DefaultParagraphFont"/>
    <w:rPr>
      <w:rFonts w:ascii="Tahoma" w:hAnsi="Tahoma" w:cs="Tahoma"/>
      <w:sz w:val="16"/>
      <w:szCs w:val="16"/>
    </w:rPr>
  </w:style>
  <w:style w:type="character" w:styleId="TextodenotadefimChar" w:customStyle="1">
    <w:name w:val="Texto de nota de fim Char"/>
    <w:uiPriority w:val="99"/>
    <w:semiHidden/>
    <w:link w:val="Textodenotadefim"/>
    <w:rsid w:val="006979f1"/>
    <w:basedOn w:val="DefaultParagraphFont"/>
    <w:rPr>
      <w:sz w:val="20"/>
      <w:szCs w:val="20"/>
    </w:rPr>
  </w:style>
  <w:style w:type="character" w:styleId="Endnotereference">
    <w:name w:val="endnote reference"/>
    <w:uiPriority w:val="99"/>
    <w:semiHidden/>
    <w:unhideWhenUsed/>
    <w:rsid w:val="006979f1"/>
    <w:basedOn w:val="DefaultParagraphFont"/>
    <w:rPr>
      <w:vertAlign w:val="superscript"/>
    </w:rPr>
  </w:style>
  <w:style w:type="character" w:styleId="CabealhoChar" w:customStyle="1">
    <w:name w:val="Cabeçalho Char"/>
    <w:uiPriority w:val="99"/>
    <w:semiHidden/>
    <w:link w:val="Cabealho"/>
    <w:rsid w:val="006979f1"/>
    <w:basedOn w:val="DefaultParagraphFont"/>
    <w:rPr/>
  </w:style>
  <w:style w:type="character" w:styleId="RodapChar" w:customStyle="1">
    <w:name w:val="Rodapé Char"/>
    <w:uiPriority w:val="99"/>
    <w:semiHidden/>
    <w:link w:val="Rodap"/>
    <w:rsid w:val="006979f1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9b7ace"/>
    <w:basedOn w:val="Normal"/>
    <w:pPr>
      <w:spacing w:before="0" w:after="60"/>
      <w:ind w:left="720" w:right="0" w:hanging="0"/>
      <w:contextualSpacing/>
    </w:pPr>
    <w:rPr/>
  </w:style>
  <w:style w:type="paragraph" w:styleId="Annotationtext">
    <w:name w:val="annotation text"/>
    <w:uiPriority w:val="99"/>
    <w:semiHidden/>
    <w:unhideWhenUsed/>
    <w:link w:val="TextodecomentrioChar"/>
    <w:rsid w:val="006979f1"/>
    <w:basedOn w:val="Normal"/>
    <w:pPr>
      <w:spacing w:lineRule="auto" w:line="240"/>
    </w:pPr>
    <w:rPr>
      <w:sz w:val="20"/>
      <w:szCs w:val="20"/>
    </w:rPr>
  </w:style>
  <w:style w:type="paragraph" w:styleId="Annotationsubject">
    <w:name w:val="annotation subject"/>
    <w:uiPriority w:val="99"/>
    <w:semiHidden/>
    <w:unhideWhenUsed/>
    <w:link w:val="AssuntodocomentrioChar"/>
    <w:rsid w:val="006979f1"/>
    <w:basedOn w:val="Annotationtext"/>
    <w:pPr/>
    <w:rPr>
      <w:b/>
      <w:bCs/>
    </w:rPr>
  </w:style>
  <w:style w:type="paragraph" w:styleId="BalloonText">
    <w:name w:val="Balloon Text"/>
    <w:uiPriority w:val="99"/>
    <w:semiHidden/>
    <w:unhideWhenUsed/>
    <w:link w:val="TextodebaloChar"/>
    <w:rsid w:val="006979f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Endnotetext">
    <w:name w:val="endnote text"/>
    <w:uiPriority w:val="99"/>
    <w:semiHidden/>
    <w:unhideWhenUsed/>
    <w:link w:val="TextodenotadefimChar"/>
    <w:rsid w:val="006979f1"/>
    <w:basedOn w:val="Normal"/>
    <w:pPr>
      <w:spacing w:lineRule="auto" w:line="240" w:before="0" w:after="0"/>
    </w:pPr>
    <w:rPr>
      <w:sz w:val="20"/>
      <w:szCs w:val="20"/>
    </w:rPr>
  </w:style>
  <w:style w:type="paragraph" w:styleId="Header">
    <w:name w:val="Header"/>
    <w:uiPriority w:val="99"/>
    <w:semiHidden/>
    <w:unhideWhenUsed/>
    <w:link w:val="CabealhoChar"/>
    <w:rsid w:val="006979f1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uiPriority w:val="99"/>
    <w:semiHidden/>
    <w:unhideWhenUsed/>
    <w:link w:val="RodapChar"/>
    <w:rsid w:val="006979f1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2016-05-30T18:54:00Z</dcterms:created>
  <dc:creator>Dena</dc:creator>
  <dc:language>en-US</dc:language>
  <cp:lastModifiedBy>Dena</cp:lastModifiedBy>
  <dcterms:modified xsi:type="dcterms:W3CDTF">2016-05-30T18:54:00Z</dcterms:modified>
  <cp:revision>2</cp:revision>
</cp:coreProperties>
</file>