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72" w:rsidRPr="006979F1" w:rsidRDefault="006979F1">
      <w:pPr>
        <w:rPr>
          <w:rFonts w:ascii="Arial" w:hAnsi="Arial" w:cs="Arial"/>
          <w:b/>
          <w:sz w:val="20"/>
          <w:szCs w:val="20"/>
        </w:rPr>
      </w:pPr>
      <w:proofErr w:type="gramStart"/>
      <w:r w:rsidRPr="006979F1">
        <w:rPr>
          <w:rFonts w:ascii="Arial" w:hAnsi="Arial" w:cs="Arial"/>
          <w:b/>
          <w:sz w:val="20"/>
          <w:szCs w:val="20"/>
        </w:rPr>
        <w:t>1</w:t>
      </w:r>
      <w:proofErr w:type="gramEnd"/>
      <w:r w:rsidRPr="006979F1">
        <w:rPr>
          <w:rFonts w:ascii="Arial" w:hAnsi="Arial" w:cs="Arial"/>
          <w:b/>
          <w:sz w:val="20"/>
          <w:szCs w:val="20"/>
        </w:rPr>
        <w:t xml:space="preserve"> parte da </w:t>
      </w:r>
      <w:r w:rsidR="009B7ACE" w:rsidRPr="006979F1">
        <w:rPr>
          <w:rFonts w:ascii="Arial" w:hAnsi="Arial" w:cs="Arial"/>
          <w:b/>
          <w:sz w:val="20"/>
          <w:szCs w:val="20"/>
        </w:rPr>
        <w:t>Lista de Exercícios – Macroeconomia</w:t>
      </w:r>
      <w:r w:rsidRPr="006979F1">
        <w:rPr>
          <w:rFonts w:ascii="Arial" w:hAnsi="Arial" w:cs="Arial"/>
          <w:b/>
          <w:sz w:val="20"/>
          <w:szCs w:val="20"/>
        </w:rPr>
        <w:t xml:space="preserve"> – 2 Bi.</w:t>
      </w:r>
    </w:p>
    <w:p w:rsidR="009B7ACE" w:rsidRPr="006979F1" w:rsidRDefault="009B7ACE">
      <w:pPr>
        <w:rPr>
          <w:rFonts w:ascii="Arial" w:hAnsi="Arial" w:cs="Arial"/>
          <w:sz w:val="20"/>
          <w:szCs w:val="20"/>
        </w:rPr>
      </w:pPr>
    </w:p>
    <w:p w:rsidR="009B7ACE" w:rsidRPr="006979F1" w:rsidRDefault="009B7AC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1. Quando o Banco Central deseja possibilitar maior desenvolvimento empresarial, ele irá adotar uma Política Monetária Expansiva, valendo-se de medidas como:</w:t>
      </w:r>
    </w:p>
    <w:p w:rsidR="009B7ACE" w:rsidRPr="006979F1" w:rsidRDefault="009B7AC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venda de títulos públicos. b) elevação da taxa de juros. c) elevação do recolhimento compulsório. d) redução das linhas de crédito. e) redução das taxas de juros.</w:t>
      </w:r>
    </w:p>
    <w:p w:rsidR="009B7ACE" w:rsidRPr="006979F1" w:rsidRDefault="009B7ACE">
      <w:pPr>
        <w:rPr>
          <w:rFonts w:ascii="Arial" w:hAnsi="Arial" w:cs="Arial"/>
          <w:sz w:val="20"/>
          <w:szCs w:val="20"/>
        </w:rPr>
      </w:pPr>
    </w:p>
    <w:p w:rsidR="00624F4E" w:rsidRPr="006979F1" w:rsidRDefault="003E40CF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2</w:t>
      </w:r>
      <w:r w:rsidR="00624F4E" w:rsidRPr="006979F1">
        <w:rPr>
          <w:rFonts w:ascii="Arial" w:hAnsi="Arial" w:cs="Arial"/>
          <w:sz w:val="20"/>
          <w:szCs w:val="20"/>
        </w:rPr>
        <w:t>. Constituem políticas monetárias contracionistas:</w:t>
      </w:r>
    </w:p>
    <w:p w:rsidR="00624F4E" w:rsidRPr="006979F1" w:rsidRDefault="00624F4E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diminuição dos impostos e diminuição das reservas compulsórias.</w:t>
      </w:r>
    </w:p>
    <w:p w:rsidR="00624F4E" w:rsidRPr="006979F1" w:rsidRDefault="00624F4E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diminuição na taxa de redesconto e compra de títulos no mercado aberto.</w:t>
      </w:r>
    </w:p>
    <w:p w:rsidR="00624F4E" w:rsidRPr="006979F1" w:rsidRDefault="00624F4E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diminuição na taxa de redesconto e venda de títulos no mercado aberto.</w:t>
      </w:r>
    </w:p>
    <w:p w:rsidR="00624F4E" w:rsidRPr="006979F1" w:rsidRDefault="00624F4E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d) diminuição dos impostos e aumento das reservas compulsórias.</w:t>
      </w:r>
    </w:p>
    <w:p w:rsidR="00624F4E" w:rsidRPr="006979F1" w:rsidRDefault="00624F4E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e) aumento na taxa de redesconto e aumento das reservas compulsórias.</w:t>
      </w:r>
    </w:p>
    <w:p w:rsidR="00624F4E" w:rsidRPr="006979F1" w:rsidRDefault="00624F4E" w:rsidP="00624F4E">
      <w:pPr>
        <w:rPr>
          <w:rFonts w:ascii="Arial" w:hAnsi="Arial" w:cs="Arial"/>
          <w:sz w:val="20"/>
          <w:szCs w:val="20"/>
        </w:rPr>
      </w:pPr>
    </w:p>
    <w:p w:rsidR="00624F4E" w:rsidRPr="006979F1" w:rsidRDefault="003E40CF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3</w:t>
      </w:r>
      <w:r w:rsidR="00624F4E" w:rsidRPr="006979F1">
        <w:rPr>
          <w:rFonts w:ascii="Arial" w:hAnsi="Arial" w:cs="Arial"/>
          <w:sz w:val="20"/>
          <w:szCs w:val="20"/>
        </w:rPr>
        <w:t>.</w:t>
      </w:r>
      <w:r w:rsidR="00D50603" w:rsidRPr="006979F1">
        <w:rPr>
          <w:rFonts w:ascii="Arial" w:hAnsi="Arial" w:cs="Arial"/>
          <w:sz w:val="20"/>
          <w:szCs w:val="20"/>
        </w:rPr>
        <w:t xml:space="preserve"> Cite quais são as medidas expansionistas de política monetária, adotadas pelo governo:</w:t>
      </w:r>
    </w:p>
    <w:p w:rsidR="005D3391" w:rsidRPr="006979F1" w:rsidRDefault="005D3391" w:rsidP="00624F4E">
      <w:pPr>
        <w:rPr>
          <w:rFonts w:ascii="Arial" w:hAnsi="Arial" w:cs="Arial"/>
          <w:sz w:val="20"/>
          <w:szCs w:val="20"/>
        </w:rPr>
      </w:pPr>
    </w:p>
    <w:p w:rsidR="005D3391" w:rsidRPr="006979F1" w:rsidRDefault="005D3391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4. Uma redução dos gastos do governo significa:</w:t>
      </w:r>
    </w:p>
    <w:p w:rsidR="005D3391" w:rsidRPr="006979F1" w:rsidRDefault="005D3391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 xml:space="preserve">a) Um aumento da demanda agregada e, consequentemente, uma queda no Produto Nacional de </w:t>
      </w:r>
      <w:r w:rsidR="00737D56" w:rsidRPr="006979F1">
        <w:rPr>
          <w:rFonts w:ascii="Arial" w:hAnsi="Arial" w:cs="Arial"/>
          <w:sz w:val="20"/>
          <w:szCs w:val="20"/>
        </w:rPr>
        <w:t>equilíbrio.</w:t>
      </w:r>
    </w:p>
    <w:p w:rsidR="005D3391" w:rsidRPr="006979F1" w:rsidRDefault="005D3391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 xml:space="preserve">b) </w:t>
      </w:r>
      <w:r w:rsidR="00737D56" w:rsidRPr="006979F1">
        <w:rPr>
          <w:rFonts w:ascii="Arial" w:hAnsi="Arial" w:cs="Arial"/>
          <w:sz w:val="20"/>
          <w:szCs w:val="20"/>
        </w:rPr>
        <w:t>Um aumento da demanda agregada e, consequentemente, um aumento no Produto Nacional de equilíbrio.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Uma redução da demanda agregada e, consequentemente, uma queda no Produto Nacional de equilíbrio.</w:t>
      </w:r>
    </w:p>
    <w:p w:rsidR="00737D56" w:rsidRPr="006979F1" w:rsidRDefault="00737D56" w:rsidP="00737D56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d) Uma redução da demanda agregada e, consequentemente, uma alta no Produto Nacional de equilíbrio.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5. Assinale a alternativa correta.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em todas as épocas, todos os grupamentos humanos se utilizaram de alguma forma de moeda, mesmo em sua forma mais primitiva.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qualquer bem podia ser usado como moeda na época em que as sociedades usavam moeda mercadoria.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 xml:space="preserve">c) as cédulas foram </w:t>
      </w:r>
      <w:proofErr w:type="gramStart"/>
      <w:r w:rsidRPr="006979F1">
        <w:rPr>
          <w:rFonts w:ascii="Arial" w:hAnsi="Arial" w:cs="Arial"/>
          <w:sz w:val="20"/>
          <w:szCs w:val="20"/>
        </w:rPr>
        <w:t>a</w:t>
      </w:r>
      <w:proofErr w:type="gramEnd"/>
      <w:r w:rsidRPr="006979F1">
        <w:rPr>
          <w:rFonts w:ascii="Arial" w:hAnsi="Arial" w:cs="Arial"/>
          <w:sz w:val="20"/>
          <w:szCs w:val="20"/>
        </w:rPr>
        <w:t xml:space="preserve"> primeira forma de moeda.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d) a utilização de algum tipo de moeda se deu a partir da divisão do trabalho.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6. Quanto à moeda fiduciária é correto afirmar que: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tem 100% de lastro.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desde seu aparecimento foi emitida exclusivamente pelo governo.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é também chamada de papel-moeda.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d) no seu primeiro estágio possuía 100% de lastro, mas não se garantia sua conversibilidade.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7. Chama-se moeda-papel:</w:t>
      </w:r>
    </w:p>
    <w:p w:rsidR="00737D56" w:rsidRPr="006979F1" w:rsidRDefault="00737D56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à moeda representativa, emitida por casas de custódia, com 100% de lastro e plena conversibilidade.</w:t>
      </w:r>
    </w:p>
    <w:p w:rsidR="00737D56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à</w:t>
      </w:r>
      <w:r w:rsidR="00737D56" w:rsidRPr="006979F1">
        <w:rPr>
          <w:rFonts w:ascii="Arial" w:hAnsi="Arial" w:cs="Arial"/>
          <w:sz w:val="20"/>
          <w:szCs w:val="20"/>
        </w:rPr>
        <w:t xml:space="preserve"> moeda</w:t>
      </w:r>
      <w:r w:rsidRPr="006979F1">
        <w:rPr>
          <w:rFonts w:ascii="Arial" w:hAnsi="Arial" w:cs="Arial"/>
          <w:sz w:val="20"/>
          <w:szCs w:val="20"/>
        </w:rPr>
        <w:t xml:space="preserve"> fiduciária, emitida por casas de custódia com plena conversibilidade.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à moeda bancária.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 xml:space="preserve">d) à moeda representativa, com lastro inferior a 100% e plena </w:t>
      </w:r>
      <w:proofErr w:type="gramStart"/>
      <w:r w:rsidRPr="006979F1">
        <w:rPr>
          <w:rFonts w:ascii="Arial" w:hAnsi="Arial" w:cs="Arial"/>
          <w:sz w:val="20"/>
          <w:szCs w:val="20"/>
        </w:rPr>
        <w:t>conversibilidade</w:t>
      </w:r>
      <w:proofErr w:type="gramEnd"/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</w:p>
    <w:p w:rsidR="00110212" w:rsidRDefault="00110212" w:rsidP="00624F4E">
      <w:pPr>
        <w:rPr>
          <w:rFonts w:ascii="Arial" w:hAnsi="Arial" w:cs="Arial"/>
          <w:sz w:val="20"/>
          <w:szCs w:val="20"/>
        </w:rPr>
      </w:pPr>
    </w:p>
    <w:p w:rsidR="006979F1" w:rsidRPr="006979F1" w:rsidRDefault="006979F1" w:rsidP="00624F4E">
      <w:pPr>
        <w:rPr>
          <w:rFonts w:ascii="Arial" w:hAnsi="Arial" w:cs="Arial"/>
          <w:sz w:val="20"/>
          <w:szCs w:val="20"/>
        </w:rPr>
      </w:pP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lastRenderedPageBreak/>
        <w:t>8. São funções da moeda: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durabilidade e facilidade de manuseio e transporte,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instrumento de troca, medida de valor e reserva de valor.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instrumento de troca, medida de valor e homogeneidade.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d) durabilidade, divisibilidade e homogeneidade.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9. Pelo conceito ampliado, definido no ano de 2001 pelo Banco Central do Brasil, explique o que significa M</w:t>
      </w:r>
      <w:r w:rsidRPr="006979F1">
        <w:rPr>
          <w:rFonts w:ascii="Arial" w:hAnsi="Arial" w:cs="Arial"/>
          <w:sz w:val="16"/>
          <w:szCs w:val="16"/>
        </w:rPr>
        <w:t>1</w:t>
      </w:r>
      <w:r w:rsidRPr="006979F1">
        <w:rPr>
          <w:rFonts w:ascii="Arial" w:hAnsi="Arial" w:cs="Arial"/>
          <w:sz w:val="20"/>
          <w:szCs w:val="20"/>
        </w:rPr>
        <w:t>.</w:t>
      </w: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</w:p>
    <w:p w:rsidR="00110212" w:rsidRPr="006979F1" w:rsidRDefault="00110212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 xml:space="preserve">10. </w:t>
      </w:r>
      <w:r w:rsidR="005419A9" w:rsidRPr="006979F1">
        <w:rPr>
          <w:rFonts w:ascii="Arial" w:hAnsi="Arial" w:cs="Arial"/>
          <w:sz w:val="20"/>
          <w:szCs w:val="20"/>
        </w:rPr>
        <w:t>Dentro os instrumentos abaixo, marque aquele que não se caracteriza como instrumento de política monetária.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fixação da taxa dos depósitos compulsórios.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operações de redescontos.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gastos do governo.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 xml:space="preserve">d) operações no mercado aberto (open </w:t>
      </w:r>
      <w:proofErr w:type="spellStart"/>
      <w:r w:rsidRPr="006979F1">
        <w:rPr>
          <w:rFonts w:ascii="Arial" w:hAnsi="Arial" w:cs="Arial"/>
          <w:sz w:val="20"/>
          <w:szCs w:val="20"/>
        </w:rPr>
        <w:t>market</w:t>
      </w:r>
      <w:proofErr w:type="spellEnd"/>
      <w:r w:rsidRPr="006979F1">
        <w:rPr>
          <w:rFonts w:ascii="Arial" w:hAnsi="Arial" w:cs="Arial"/>
          <w:sz w:val="20"/>
          <w:szCs w:val="20"/>
        </w:rPr>
        <w:t>)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11. Uma política monetária restritiva (</w:t>
      </w:r>
      <w:proofErr w:type="spellStart"/>
      <w:r w:rsidRPr="006979F1">
        <w:rPr>
          <w:rFonts w:ascii="Arial" w:hAnsi="Arial" w:cs="Arial"/>
          <w:sz w:val="20"/>
          <w:szCs w:val="20"/>
        </w:rPr>
        <w:t>contracionista</w:t>
      </w:r>
      <w:proofErr w:type="spellEnd"/>
      <w:r w:rsidRPr="006979F1">
        <w:rPr>
          <w:rFonts w:ascii="Arial" w:hAnsi="Arial" w:cs="Arial"/>
          <w:sz w:val="20"/>
          <w:szCs w:val="20"/>
        </w:rPr>
        <w:t>) consolida-se quando o governo: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a) reduz a taxa de compulsório dos bancos comerciais.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b) reduz a taxa de juros para empréstimos de redesconto.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c) reduz as alíquotas do imposto de renda.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d) vende títulos da dívida ao público.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12. Explique o que ocorre quando o governo compra títulos da dívida pública no mercado ocorre.</w:t>
      </w: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</w:p>
    <w:p w:rsidR="005419A9" w:rsidRPr="006979F1" w:rsidRDefault="005419A9" w:rsidP="00624F4E">
      <w:pPr>
        <w:rPr>
          <w:rFonts w:ascii="Arial" w:hAnsi="Arial" w:cs="Arial"/>
          <w:sz w:val="20"/>
          <w:szCs w:val="20"/>
        </w:rPr>
      </w:pPr>
      <w:r w:rsidRPr="006979F1">
        <w:rPr>
          <w:rFonts w:ascii="Arial" w:hAnsi="Arial" w:cs="Arial"/>
          <w:sz w:val="20"/>
          <w:szCs w:val="20"/>
        </w:rPr>
        <w:t>13. Um aumento do encaixe compulsório dos bancos comerciais determinado pelo BACEN tem como consequência:</w:t>
      </w:r>
    </w:p>
    <w:sectPr w:rsidR="005419A9" w:rsidRPr="006979F1" w:rsidSect="006979F1"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842" w:rsidRDefault="00C87842" w:rsidP="006979F1">
      <w:pPr>
        <w:spacing w:after="0" w:line="240" w:lineRule="auto"/>
      </w:pPr>
      <w:r>
        <w:separator/>
      </w:r>
    </w:p>
  </w:endnote>
  <w:endnote w:type="continuationSeparator" w:id="0">
    <w:p w:rsidR="00C87842" w:rsidRDefault="00C87842" w:rsidP="0069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842" w:rsidRDefault="00C87842" w:rsidP="006979F1">
      <w:pPr>
        <w:spacing w:after="0" w:line="240" w:lineRule="auto"/>
      </w:pPr>
      <w:r>
        <w:separator/>
      </w:r>
    </w:p>
  </w:footnote>
  <w:footnote w:type="continuationSeparator" w:id="0">
    <w:p w:rsidR="00C87842" w:rsidRDefault="00C87842" w:rsidP="0069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372A"/>
    <w:multiLevelType w:val="hybridMultilevel"/>
    <w:tmpl w:val="914445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ACE"/>
    <w:rsid w:val="000C0123"/>
    <w:rsid w:val="00110212"/>
    <w:rsid w:val="00113429"/>
    <w:rsid w:val="00282C56"/>
    <w:rsid w:val="003E40CF"/>
    <w:rsid w:val="005419A9"/>
    <w:rsid w:val="005D3391"/>
    <w:rsid w:val="006022A1"/>
    <w:rsid w:val="00624F4E"/>
    <w:rsid w:val="006979F1"/>
    <w:rsid w:val="006C18F1"/>
    <w:rsid w:val="00737D56"/>
    <w:rsid w:val="008E661A"/>
    <w:rsid w:val="009B7ACE"/>
    <w:rsid w:val="009F0BF4"/>
    <w:rsid w:val="00C87842"/>
    <w:rsid w:val="00D50603"/>
    <w:rsid w:val="00D75247"/>
    <w:rsid w:val="00EA34DF"/>
    <w:rsid w:val="00EA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AC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979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79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79F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79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79F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9F1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979F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979F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979F1"/>
    <w:rPr>
      <w:vertAlign w:val="superscript"/>
    </w:rPr>
  </w:style>
  <w:style w:type="paragraph" w:styleId="Cabealho">
    <w:name w:val="header"/>
    <w:basedOn w:val="Normal"/>
    <w:link w:val="CabealhoChar"/>
    <w:uiPriority w:val="99"/>
    <w:semiHidden/>
    <w:unhideWhenUsed/>
    <w:rsid w:val="00697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79F1"/>
  </w:style>
  <w:style w:type="paragraph" w:styleId="Rodap">
    <w:name w:val="footer"/>
    <w:basedOn w:val="Normal"/>
    <w:link w:val="RodapChar"/>
    <w:uiPriority w:val="99"/>
    <w:semiHidden/>
    <w:unhideWhenUsed/>
    <w:rsid w:val="00697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97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</dc:creator>
  <cp:lastModifiedBy>Dena</cp:lastModifiedBy>
  <cp:revision>2</cp:revision>
  <dcterms:created xsi:type="dcterms:W3CDTF">2016-05-30T18:54:00Z</dcterms:created>
  <dcterms:modified xsi:type="dcterms:W3CDTF">2016-05-30T18:54:00Z</dcterms:modified>
</cp:coreProperties>
</file>