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2A2EE">
      <w:r>
        <w:rPr>
          <w:color w:val="000000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1233805</wp:posOffset>
                </wp:positionH>
                <wp:positionV relativeFrom="paragraph">
                  <wp:posOffset>194310</wp:posOffset>
                </wp:positionV>
                <wp:extent cx="2753995" cy="804545"/>
                <wp:effectExtent l="0" t="0" r="4445" b="3175"/>
                <wp:wrapNone/>
                <wp:docPr id="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995" cy="804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8151C5">
                            <w:pPr>
                              <w:rPr>
                                <w:rFonts w:ascii="Calibri" w:hAnsi="Calibri" w:cs="Arial"/>
                                <w:smallCap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smallCaps/>
                                <w:sz w:val="28"/>
                                <w:szCs w:val="28"/>
                              </w:rPr>
                              <w:t>Middle East Technical University</w:t>
                            </w:r>
                            <w:r>
                              <w:rPr>
                                <w:rFonts w:cs="Arial"/>
                                <w:b/>
                                <w:smallCaps/>
                                <w:sz w:val="28"/>
                                <w:szCs w:val="28"/>
                              </w:rPr>
                              <w:br w:type="textWrapping"/>
                            </w:r>
                            <w:r>
                              <w:rPr>
                                <w:rFonts w:ascii="Calibri" w:hAnsi="Calibri" w:cs="Arial"/>
                                <w:b/>
                                <w:smallCaps/>
                                <w:sz w:val="28"/>
                                <w:szCs w:val="28"/>
                              </w:rPr>
                              <w:t>Northern Cyprus Campus</w:t>
                            </w:r>
                            <w:r>
                              <w:rPr>
                                <w:rFonts w:cs="Arial"/>
                                <w:b/>
                                <w:smallCaps/>
                                <w:sz w:val="28"/>
                                <w:szCs w:val="28"/>
                              </w:rPr>
                              <w:br w:type="textWrapping"/>
                            </w:r>
                            <w:r>
                              <w:rPr>
                                <w:rFonts w:ascii="Calibri" w:hAnsi="Calibri" w:cs="Arial"/>
                                <w:b/>
                                <w:smallCaps/>
                                <w:sz w:val="28"/>
                                <w:szCs w:val="28"/>
                              </w:rPr>
                              <w:t>Psychology Program</w:t>
                            </w:r>
                          </w:p>
                          <w:p w14:paraId="471F8901"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5" o:spid="_x0000_s1026" o:spt="202" type="#_x0000_t202" style="position:absolute;left:0pt;margin-left:97.15pt;margin-top:15.3pt;height:63.35pt;width:216.85pt;z-index:251659264;mso-width-relative:page;mso-height-relative:page;" fillcolor="#FFFFFF" filled="t" stroked="f" coordsize="21600,21600" o:gfxdata="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sGpEs1wAAAAoBAAAPAAAAAAAAAAEAIAAAACIAAABkcnMvZG93bnJldi54bWxQSwEC&#10;FAAUAAAACACHTuJAB9iHcbwBAACEAwAADgAAAAAAAAABACAAAAAmAQAAZHJzL2Uyb0RvYy54bWxQ&#10;SwUGAAAAAAYABgBZAQAAVA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18151C5">
                      <w:pPr>
                        <w:rPr>
                          <w:rFonts w:ascii="Calibri" w:hAnsi="Calibri" w:cs="Arial"/>
                          <w:smallCaps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Arial"/>
                          <w:b/>
                          <w:smallCaps/>
                          <w:sz w:val="28"/>
                          <w:szCs w:val="28"/>
                        </w:rPr>
                        <w:t>Middle East Technical University</w:t>
                      </w:r>
                      <w:r>
                        <w:rPr>
                          <w:rFonts w:cs="Arial"/>
                          <w:b/>
                          <w:smallCaps/>
                          <w:sz w:val="28"/>
                          <w:szCs w:val="28"/>
                        </w:rPr>
                        <w:br w:type="textWrapping"/>
                      </w:r>
                      <w:r>
                        <w:rPr>
                          <w:rFonts w:ascii="Calibri" w:hAnsi="Calibri" w:cs="Arial"/>
                          <w:b/>
                          <w:smallCaps/>
                          <w:sz w:val="28"/>
                          <w:szCs w:val="28"/>
                        </w:rPr>
                        <w:t>Northern Cyprus Campus</w:t>
                      </w:r>
                      <w:r>
                        <w:rPr>
                          <w:rFonts w:cs="Arial"/>
                          <w:b/>
                          <w:smallCaps/>
                          <w:sz w:val="28"/>
                          <w:szCs w:val="28"/>
                        </w:rPr>
                        <w:br w:type="textWrapping"/>
                      </w:r>
                      <w:r>
                        <w:rPr>
                          <w:rFonts w:ascii="Calibri" w:hAnsi="Calibri" w:cs="Arial"/>
                          <w:b/>
                          <w:smallCaps/>
                          <w:sz w:val="28"/>
                          <w:szCs w:val="28"/>
                        </w:rPr>
                        <w:t>Psychology Program</w:t>
                      </w:r>
                    </w:p>
                    <w:p w14:paraId="471F8901"/>
                  </w:txbxContent>
                </v:textbox>
              </v:shape>
            </w:pict>
          </mc:Fallback>
        </mc:AlternateContent>
      </w:r>
      <w:r>
        <w:rPr>
          <w:color w:val="000000"/>
          <w:lang w:val="en-US" w:eastAsia="en-US"/>
        </w:rPr>
        <w:drawing>
          <wp:inline distT="0" distB="0" distL="114300" distR="114300">
            <wp:extent cx="1201420" cy="1001395"/>
            <wp:effectExtent l="0" t="0" r="2540" b="4445"/>
            <wp:docPr id="2" name="Picture 1" descr="http://www.metu.edu.tr/images/logo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http://www.metu.edu.tr/images/logo1.gif"/>
                    <pic:cNvPicPr>
                      <a:picLocks noChangeAspect="1"/>
                    </pic:cNvPicPr>
                  </pic:nvPicPr>
                  <pic:blipFill>
                    <a:blip r:embed="rId5"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D4B08">
      <w:pPr>
        <w:jc w:val="center"/>
        <w:rPr>
          <w:b/>
        </w:rPr>
      </w:pPr>
    </w:p>
    <w:tbl>
      <w:tblPr>
        <w:tblStyle w:val="6"/>
        <w:tblW w:w="10065" w:type="dxa"/>
        <w:tblInd w:w="108" w:type="dxa"/>
        <w:tblBorders>
          <w:top w:val="none" w:color="auto" w:sz="0" w:space="0"/>
          <w:left w:val="none" w:color="auto" w:sz="0" w:space="0"/>
          <w:bottom w:val="single" w:color="000000" w:sz="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5"/>
      </w:tblGrid>
      <w:tr w14:paraId="76F8303E">
        <w:tblPrEx>
          <w:tblBorders>
            <w:top w:val="none" w:color="auto" w:sz="0" w:space="0"/>
            <w:left w:val="none" w:color="auto" w:sz="0" w:space="0"/>
            <w:bottom w:val="single" w:color="000000" w:sz="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65" w:type="dxa"/>
            <w:shd w:val="clear" w:color="auto" w:fill="FFFFFF"/>
          </w:tcPr>
          <w:p w14:paraId="7D256D5A">
            <w:pPr>
              <w:snapToGrid w:val="0"/>
              <w:spacing w:before="120" w:after="120"/>
              <w:jc w:val="center"/>
              <w:rPr>
                <w:b/>
                <w:smallCaps/>
              </w:rPr>
            </w:pPr>
          </w:p>
          <w:p w14:paraId="76845321">
            <w:pPr>
              <w:snapToGrid w:val="0"/>
              <w:spacing w:before="120" w:after="120"/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Course Outline</w:t>
            </w:r>
          </w:p>
          <w:p w14:paraId="74249AE2">
            <w:pPr>
              <w:snapToGrid w:val="0"/>
              <w:spacing w:before="120" w:after="120"/>
              <w:jc w:val="center"/>
              <w:rPr>
                <w:smallCaps/>
              </w:rPr>
            </w:pPr>
          </w:p>
        </w:tc>
      </w:tr>
    </w:tbl>
    <w:p w14:paraId="3D010317"/>
    <w:p w14:paraId="12FAA1BE"/>
    <w:p w14:paraId="4419C914"/>
    <w:p w14:paraId="68BB0A3A"/>
    <w:tbl>
      <w:tblPr>
        <w:tblStyle w:val="6"/>
        <w:tblW w:w="10242" w:type="dxa"/>
        <w:tblInd w:w="1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7"/>
        <w:gridCol w:w="1376"/>
        <w:gridCol w:w="2729"/>
        <w:gridCol w:w="900"/>
        <w:gridCol w:w="2520"/>
      </w:tblGrid>
      <w:tr w14:paraId="25553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76CFACD">
            <w:pPr>
              <w:snapToGrid w:val="0"/>
              <w:spacing w:before="120" w:after="120"/>
              <w:rPr>
                <w:b/>
                <w:smallCaps/>
              </w:rPr>
            </w:pPr>
            <w:r>
              <w:rPr>
                <w:b/>
                <w:smallCaps/>
              </w:rPr>
              <w:t>Course Name:</w:t>
            </w:r>
          </w:p>
        </w:tc>
        <w:tc>
          <w:tcPr>
            <w:tcW w:w="75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7DDB4A2">
            <w:pPr>
              <w:snapToGrid w:val="0"/>
              <w:spacing w:before="120" w:after="120"/>
            </w:pPr>
            <w:r>
              <w:t>GENERAL PSYCHOLOGY</w:t>
            </w:r>
          </w:p>
        </w:tc>
      </w:tr>
      <w:tr w14:paraId="182DEB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6CE1005">
            <w:pPr>
              <w:snapToGrid w:val="0"/>
              <w:spacing w:before="120" w:after="120"/>
              <w:rPr>
                <w:b/>
                <w:smallCaps/>
              </w:rPr>
            </w:pPr>
            <w:r>
              <w:rPr>
                <w:b/>
                <w:smallCaps/>
              </w:rPr>
              <w:t>Course Number:</w:t>
            </w:r>
          </w:p>
        </w:tc>
        <w:tc>
          <w:tcPr>
            <w:tcW w:w="75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42152D7">
            <w:pPr>
              <w:snapToGrid w:val="0"/>
              <w:spacing w:before="120" w:after="120"/>
            </w:pPr>
            <w:r>
              <w:t>PSYC100 (3710100)</w:t>
            </w:r>
          </w:p>
        </w:tc>
      </w:tr>
      <w:tr w14:paraId="6ECFE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BBE4397">
            <w:pPr>
              <w:snapToGrid w:val="0"/>
              <w:spacing w:before="120" w:after="120"/>
              <w:rPr>
                <w:b/>
                <w:smallCaps/>
              </w:rPr>
            </w:pPr>
            <w:r>
              <w:rPr>
                <w:b/>
                <w:smallCaps/>
              </w:rPr>
              <w:t>Teaching Period:</w:t>
            </w:r>
          </w:p>
        </w:tc>
        <w:tc>
          <w:tcPr>
            <w:tcW w:w="75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2211FEC">
            <w:pPr>
              <w:snapToGrid w:val="0"/>
              <w:spacing w:before="120" w:after="120"/>
              <w:rPr>
                <w:lang w:val="en-GB"/>
              </w:rPr>
            </w:pPr>
            <w:r>
              <w:rPr>
                <w:lang w:val="en-GB"/>
              </w:rPr>
              <w:t>FALL 2025-2026</w:t>
            </w:r>
          </w:p>
        </w:tc>
      </w:tr>
      <w:tr w14:paraId="13CCAF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71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</w:tcPr>
          <w:p w14:paraId="3E0E5BD9">
            <w:pPr>
              <w:snapToGrid w:val="0"/>
              <w:rPr>
                <w:b/>
                <w:smallCaps/>
              </w:rPr>
            </w:pPr>
          </w:p>
          <w:p w14:paraId="2C86F6DC">
            <w:pPr>
              <w:snapToGrid w:val="0"/>
              <w:rPr>
                <w:b/>
                <w:smallCaps/>
              </w:rPr>
            </w:pPr>
            <w:r>
              <w:rPr>
                <w:b/>
                <w:smallCaps/>
              </w:rPr>
              <w:t>Office Hours &amp; Contact details</w:t>
            </w:r>
          </w:p>
        </w:tc>
        <w:tc>
          <w:tcPr>
            <w:tcW w:w="1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133B5C76">
            <w:pPr>
              <w:jc w:val="center"/>
              <w:rPr>
                <w:b/>
              </w:rPr>
            </w:pPr>
          </w:p>
          <w:p w14:paraId="2194BFAD">
            <w:pPr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33158C6">
            <w:pPr>
              <w:jc w:val="center"/>
              <w:rPr>
                <w:b/>
              </w:rPr>
            </w:pPr>
          </w:p>
          <w:p w14:paraId="20FBA30D">
            <w:pPr>
              <w:jc w:val="center"/>
              <w:rPr>
                <w:b/>
              </w:rPr>
            </w:pPr>
            <w:r>
              <w:rPr>
                <w:b/>
              </w:rPr>
              <w:t>Office Hours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27E2B7A">
            <w:pPr>
              <w:jc w:val="center"/>
              <w:rPr>
                <w:b/>
              </w:rPr>
            </w:pPr>
          </w:p>
          <w:p w14:paraId="5B8ADD42">
            <w:pPr>
              <w:jc w:val="center"/>
              <w:rPr>
                <w:b/>
              </w:rPr>
            </w:pPr>
            <w:r>
              <w:rPr>
                <w:b/>
              </w:rPr>
              <w:t>Phone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47527C19">
            <w:pPr>
              <w:jc w:val="center"/>
              <w:rPr>
                <w:b/>
              </w:rPr>
            </w:pPr>
          </w:p>
          <w:p w14:paraId="5276C7A7">
            <w:pPr>
              <w:jc w:val="center"/>
              <w:rPr>
                <w:b/>
              </w:rPr>
            </w:pPr>
            <w:r>
              <w:rPr>
                <w:b/>
              </w:rPr>
              <w:t>E-mail</w:t>
            </w:r>
          </w:p>
        </w:tc>
      </w:tr>
      <w:tr w14:paraId="11B077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</w:tcPr>
          <w:p w14:paraId="73DF78EF">
            <w:pPr>
              <w:snapToGrid w:val="0"/>
              <w:rPr>
                <w:b/>
                <w:smallCaps/>
              </w:rPr>
            </w:pPr>
          </w:p>
        </w:tc>
        <w:tc>
          <w:tcPr>
            <w:tcW w:w="1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BBF8514">
            <w:r>
              <w:t>Aslı Niyazi</w:t>
            </w:r>
          </w:p>
        </w:tc>
        <w:tc>
          <w:tcPr>
            <w:tcW w:w="2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0740350">
            <w:pPr>
              <w:jc w:val="center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TBA</w:t>
            </w:r>
          </w:p>
        </w:tc>
        <w:tc>
          <w:tcPr>
            <w:tcW w:w="900" w:type="dxa"/>
            <w:shd w:val="clear" w:color="auto" w:fill="auto"/>
          </w:tcPr>
          <w:p w14:paraId="6592632B">
            <w:pPr>
              <w:jc w:val="center"/>
              <w:rPr>
                <w:lang w:val="en-GB"/>
              </w:rPr>
            </w:pPr>
            <w:r>
              <w:t>x29</w:t>
            </w:r>
            <w:r>
              <w:rPr>
                <w:lang w:val="en-GB"/>
              </w:rPr>
              <w:t>92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11B20F4">
            <w:r>
              <w:fldChar w:fldCharType="begin"/>
            </w:r>
            <w:r>
              <w:instrText xml:space="preserve"> HYPERLINK "mailto:nasli@metu.edu.tr" </w:instrText>
            </w:r>
            <w:r>
              <w:fldChar w:fldCharType="separate"/>
            </w:r>
            <w:r>
              <w:rPr>
                <w:rStyle w:val="14"/>
              </w:rPr>
              <w:t>nasli@metu.edu.tr</w:t>
            </w:r>
            <w:r>
              <w:rPr>
                <w:rStyle w:val="14"/>
              </w:rPr>
              <w:fldChar w:fldCharType="end"/>
            </w:r>
          </w:p>
        </w:tc>
      </w:tr>
      <w:tr w14:paraId="5A43F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34B70EC">
            <w:pPr>
              <w:snapToGrid w:val="0"/>
              <w:rPr>
                <w:b/>
                <w:smallCaps/>
              </w:rPr>
            </w:pPr>
          </w:p>
          <w:p w14:paraId="05E5491A">
            <w:pPr>
              <w:snapToGrid w:val="0"/>
              <w:rPr>
                <w:b/>
                <w:smallCaps/>
              </w:rPr>
            </w:pPr>
            <w:r>
              <w:rPr>
                <w:b/>
                <w:smallCaps/>
              </w:rPr>
              <w:t>Teaching Schedule</w:t>
            </w:r>
          </w:p>
        </w:tc>
        <w:tc>
          <w:tcPr>
            <w:tcW w:w="75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7BBF473">
            <w:pPr>
              <w:rPr>
                <w:highlight w:val="yellow"/>
              </w:rPr>
            </w:pPr>
          </w:p>
          <w:p w14:paraId="553913EC">
            <w:pPr>
              <w:rPr>
                <w:highlight w:val="yellow"/>
                <w:lang w:val="en-GB"/>
              </w:rPr>
            </w:pPr>
            <w:r>
              <w:rPr>
                <w:lang w:val="en-GB"/>
              </w:rPr>
              <w:t>Wednesday 09:40-12:30</w:t>
            </w:r>
          </w:p>
        </w:tc>
      </w:tr>
    </w:tbl>
    <w:p w14:paraId="5E731A94">
      <w:pPr>
        <w:rPr>
          <w:b/>
          <w:u w:val="single"/>
        </w:rPr>
      </w:pPr>
    </w:p>
    <w:p w14:paraId="3012BD13">
      <w:pPr>
        <w:rPr>
          <w:b/>
          <w:u w:val="single"/>
        </w:rPr>
      </w:pPr>
    </w:p>
    <w:p w14:paraId="2F59768C">
      <w:pPr>
        <w:rPr>
          <w:b/>
          <w:u w:val="single"/>
        </w:rPr>
      </w:pPr>
    </w:p>
    <w:p w14:paraId="49303CE4">
      <w:pPr>
        <w:rPr>
          <w:b/>
          <w:u w:val="single"/>
        </w:rPr>
      </w:pPr>
      <w:r>
        <w:br w:type="page"/>
      </w:r>
    </w:p>
    <w:tbl>
      <w:tblPr>
        <w:tblStyle w:val="6"/>
        <w:tblpPr w:leftFromText="180" w:rightFromText="180" w:horzAnchor="margin" w:tblpY="405"/>
        <w:tblW w:w="1031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4"/>
        <w:gridCol w:w="7780"/>
      </w:tblGrid>
      <w:tr w14:paraId="09032B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solid" w:color="auto" w:fill="FFFFFF"/>
          </w:tcPr>
          <w:p w14:paraId="061A1DA8">
            <w:pPr>
              <w:snapToGrid w:val="0"/>
              <w:spacing w:before="120" w:after="120"/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Section A:  General Information</w:t>
            </w:r>
          </w:p>
        </w:tc>
      </w:tr>
      <w:tr w14:paraId="6CA1E8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6BD7E272">
            <w:pPr>
              <w:snapToGrid w:val="0"/>
              <w:spacing w:before="60" w:after="60"/>
              <w:rPr>
                <w:b/>
                <w:smallCaps/>
              </w:rPr>
            </w:pPr>
            <w:r>
              <w:rPr>
                <w:b/>
                <w:smallCaps/>
              </w:rPr>
              <w:t>Unit Weighting</w:t>
            </w:r>
          </w:p>
        </w:tc>
        <w:tc>
          <w:tcPr>
            <w:tcW w:w="7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3C703920">
            <w:pPr>
              <w:snapToGrid w:val="0"/>
              <w:spacing w:before="60" w:after="60"/>
            </w:pPr>
            <w:r>
              <w:t>3 credits</w:t>
            </w:r>
          </w:p>
        </w:tc>
      </w:tr>
      <w:tr w14:paraId="5FFE98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339A306">
            <w:pPr>
              <w:snapToGrid w:val="0"/>
              <w:spacing w:before="60" w:after="60"/>
              <w:rPr>
                <w:b/>
                <w:smallCaps/>
              </w:rPr>
            </w:pPr>
            <w:r>
              <w:rPr>
                <w:b/>
                <w:smallCaps/>
              </w:rPr>
              <w:t>Pre-requisites</w:t>
            </w:r>
          </w:p>
        </w:tc>
        <w:tc>
          <w:tcPr>
            <w:tcW w:w="7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D84919A">
            <w:pPr>
              <w:spacing w:before="60" w:after="60"/>
            </w:pPr>
            <w:r>
              <w:t>None</w:t>
            </w:r>
          </w:p>
        </w:tc>
      </w:tr>
      <w:tr w14:paraId="5223BA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03EECBAC">
            <w:pPr>
              <w:snapToGrid w:val="0"/>
              <w:spacing w:before="60" w:after="60"/>
              <w:rPr>
                <w:b/>
                <w:smallCaps/>
              </w:rPr>
            </w:pPr>
            <w:r>
              <w:rPr>
                <w:b/>
                <w:smallCaps/>
              </w:rPr>
              <w:t>Co-requisites</w:t>
            </w:r>
          </w:p>
        </w:tc>
        <w:tc>
          <w:tcPr>
            <w:tcW w:w="7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5DBDF6">
            <w:pPr>
              <w:spacing w:before="120" w:after="60"/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</w:tr>
      <w:tr w14:paraId="3B9B0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5D81156">
            <w:pPr>
              <w:snapToGrid w:val="0"/>
              <w:spacing w:before="60" w:after="60"/>
              <w:rPr>
                <w:b/>
                <w:smallCaps/>
              </w:rPr>
            </w:pPr>
            <w:r>
              <w:rPr>
                <w:b/>
                <w:smallCaps/>
              </w:rPr>
              <w:t>Assumed Knowledge</w:t>
            </w:r>
          </w:p>
        </w:tc>
        <w:tc>
          <w:tcPr>
            <w:tcW w:w="7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526525F8">
            <w:pPr>
              <w:snapToGrid w:val="0"/>
              <w:spacing w:before="60" w:after="60"/>
            </w:pPr>
            <w:r>
              <w:t>A basic knowledge and understanding of social and natural sciences.</w:t>
            </w:r>
          </w:p>
        </w:tc>
      </w:tr>
      <w:tr w14:paraId="2A127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21AB8AC">
            <w:pPr>
              <w:snapToGrid w:val="0"/>
              <w:spacing w:before="60" w:after="60"/>
              <w:rPr>
                <w:b/>
                <w:smallCaps/>
              </w:rPr>
            </w:pPr>
            <w:r>
              <w:rPr>
                <w:b/>
                <w:smallCaps/>
              </w:rPr>
              <w:t>Academic Rules and Regulations</w:t>
            </w:r>
          </w:p>
        </w:tc>
        <w:tc>
          <w:tcPr>
            <w:tcW w:w="7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2635E74C">
            <w:pPr>
              <w:snapToGrid w:val="0"/>
              <w:spacing w:before="60" w:after="60"/>
            </w:pPr>
            <w:r>
              <w:t>Please familiari</w:t>
            </w:r>
            <w:r>
              <w:rPr>
                <w:lang w:val="en-GB"/>
              </w:rPr>
              <w:t>z</w:t>
            </w:r>
            <w:r>
              <w:t xml:space="preserve">e yourself with the METU academic rules and regulations. </w:t>
            </w:r>
          </w:p>
        </w:tc>
      </w:tr>
      <w:tr w14:paraId="7F3990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9530D6">
            <w:pPr>
              <w:snapToGrid w:val="0"/>
              <w:spacing w:before="60" w:after="60"/>
              <w:rPr>
                <w:b/>
                <w:smallCaps/>
              </w:rPr>
            </w:pPr>
            <w:r>
              <w:rPr>
                <w:b/>
                <w:smallCaps/>
              </w:rPr>
              <w:t>Attendance</w:t>
            </w:r>
          </w:p>
          <w:p w14:paraId="311E34E2">
            <w:pPr>
              <w:spacing w:before="60" w:after="60"/>
              <w:rPr>
                <w:b/>
                <w:smallCaps/>
              </w:rPr>
            </w:pPr>
            <w:r>
              <w:rPr>
                <w:b/>
                <w:smallCaps/>
              </w:rPr>
              <w:t>Requirements</w:t>
            </w:r>
          </w:p>
        </w:tc>
        <w:tc>
          <w:tcPr>
            <w:tcW w:w="7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5FFF25">
            <w:pPr>
              <w:pStyle w:val="96"/>
              <w:snapToGrid w:val="0"/>
              <w:spacing w:before="60" w:after="60"/>
              <w:ind w:left="0"/>
              <w:rPr>
                <w:szCs w:val="24"/>
              </w:rPr>
            </w:pPr>
            <w:r>
              <w:rPr>
                <w:szCs w:val="24"/>
              </w:rPr>
              <w:t xml:space="preserve">Attendance is </w:t>
            </w:r>
            <w:r>
              <w:rPr>
                <w:i/>
                <w:szCs w:val="24"/>
              </w:rPr>
              <w:t>compulsory</w:t>
            </w:r>
            <w:r>
              <w:rPr>
                <w:szCs w:val="24"/>
              </w:rPr>
              <w:t xml:space="preserve">. Failure to maintain a regular attendance record and to participate in all class discussions may seriously undermine a student’s ability to satisfactorily complete the </w:t>
            </w:r>
            <w:r>
              <w:rPr>
                <w:szCs w:val="24"/>
                <w:lang w:val="en-GB"/>
              </w:rPr>
              <w:t>unit,</w:t>
            </w:r>
            <w:r>
              <w:rPr>
                <w:szCs w:val="24"/>
              </w:rPr>
              <w:t xml:space="preserve"> as some of the materials to be covered in exams will be available </w:t>
            </w:r>
            <w:r>
              <w:rPr>
                <w:i/>
                <w:szCs w:val="24"/>
              </w:rPr>
              <w:t>only</w:t>
            </w:r>
            <w:r>
              <w:rPr>
                <w:szCs w:val="24"/>
              </w:rPr>
              <w:t xml:space="preserve"> in lectures. </w:t>
            </w:r>
          </w:p>
        </w:tc>
      </w:tr>
      <w:tr w14:paraId="6AC866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EF6265">
            <w:pPr>
              <w:snapToGrid w:val="0"/>
              <w:spacing w:before="60" w:after="60"/>
              <w:rPr>
                <w:b/>
                <w:smallCaps/>
              </w:rPr>
            </w:pPr>
            <w:r>
              <w:rPr>
                <w:b/>
                <w:smallCaps/>
              </w:rPr>
              <w:t>Textbook</w:t>
            </w:r>
          </w:p>
        </w:tc>
        <w:tc>
          <w:tcPr>
            <w:tcW w:w="7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5EB487">
            <w:pPr>
              <w:pStyle w:val="96"/>
              <w:snapToGrid w:val="0"/>
              <w:spacing w:before="60" w:after="60"/>
              <w:ind w:left="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Gross, R. (2020). Psychology: The Science of Mind and Behaviour. 8</w:t>
            </w:r>
            <w:r>
              <w:rPr>
                <w:szCs w:val="24"/>
                <w:vertAlign w:val="superscript"/>
                <w:lang w:val="en-GB"/>
              </w:rPr>
              <w:t>th</w:t>
            </w:r>
            <w:r>
              <w:rPr>
                <w:szCs w:val="24"/>
                <w:lang w:val="en-GB"/>
              </w:rPr>
              <w:t xml:space="preserve"> Edition. Hodder Education.</w:t>
            </w:r>
          </w:p>
          <w:p w14:paraId="51A625D7">
            <w:pPr>
              <w:pStyle w:val="16"/>
              <w:rPr>
                <w:lang w:val="en-GB"/>
              </w:rPr>
            </w:pPr>
            <w:r>
              <w:t xml:space="preserve">Passer, M. W., &amp; Smith, R. E. (2007). Psychology: The </w:t>
            </w:r>
            <w:r>
              <w:rPr>
                <w:lang w:val="en-GB"/>
              </w:rPr>
              <w:t>S</w:t>
            </w:r>
            <w:r>
              <w:t xml:space="preserve">cience of </w:t>
            </w:r>
            <w:r>
              <w:rPr>
                <w:lang w:val="en-GB"/>
              </w:rPr>
              <w:t>M</w:t>
            </w:r>
            <w:r>
              <w:t xml:space="preserve">ind and </w:t>
            </w:r>
            <w:r>
              <w:rPr>
                <w:lang w:val="en-GB"/>
              </w:rPr>
              <w:t>B</w:t>
            </w:r>
            <w:r>
              <w:t>ehavior (4th ed.). McGraw-Hill</w:t>
            </w:r>
            <w:r>
              <w:rPr>
                <w:lang w:val="en-GB"/>
              </w:rPr>
              <w:t>.</w:t>
            </w:r>
          </w:p>
        </w:tc>
      </w:tr>
      <w:tr w14:paraId="0EA21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C44833">
            <w:pPr>
              <w:snapToGrid w:val="0"/>
              <w:spacing w:before="60" w:after="60"/>
              <w:rPr>
                <w:b/>
                <w:smallCaps/>
              </w:rPr>
            </w:pPr>
            <w:r>
              <w:rPr>
                <w:b/>
                <w:smallCaps/>
              </w:rPr>
              <w:t>Student Feedback</w:t>
            </w:r>
          </w:p>
        </w:tc>
        <w:tc>
          <w:tcPr>
            <w:tcW w:w="7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A45A00">
            <w:r>
              <w:t xml:space="preserve"> In order to improve the quality of teaching and </w:t>
            </w:r>
            <w:r>
              <w:rPr>
                <w:lang w:val="en-GB"/>
              </w:rPr>
              <w:t>learning,</w:t>
            </w:r>
            <w:r>
              <w:t xml:space="preserve"> your feedback as a student for this unit is very much welcomed.</w:t>
            </w:r>
          </w:p>
        </w:tc>
      </w:tr>
    </w:tbl>
    <w:p w14:paraId="433B6777">
      <w:pPr>
        <w:tabs>
          <w:tab w:val="left" w:pos="3645"/>
        </w:tabs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ab/>
      </w:r>
    </w:p>
    <w:tbl>
      <w:tblPr>
        <w:tblStyle w:val="6"/>
        <w:tblpPr w:leftFromText="180" w:rightFromText="180" w:vertAnchor="text" w:horzAnchor="page" w:tblpX="836" w:tblpY="6274"/>
        <w:tblOverlap w:val="never"/>
        <w:tblW w:w="1035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50"/>
      </w:tblGrid>
      <w:tr w14:paraId="2116A1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solid" w:color="auto" w:fill="FFFFFF"/>
          </w:tcPr>
          <w:p w14:paraId="3B072F3D">
            <w:pPr>
              <w:snapToGrid w:val="0"/>
              <w:spacing w:before="113" w:after="113"/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Section B:  Objectives and Expected Outcomes</w:t>
            </w:r>
          </w:p>
        </w:tc>
      </w:tr>
      <w:tr w14:paraId="3CEB3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0" w:hRule="atLeast"/>
        </w:trPr>
        <w:tc>
          <w:tcPr>
            <w:tcW w:w="10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B1F2E6">
            <w:pPr>
              <w:pStyle w:val="16"/>
              <w:rPr>
                <w:b/>
                <w:bCs/>
              </w:rPr>
            </w:pPr>
            <w:r>
              <w:rPr>
                <w:b/>
                <w:bCs/>
              </w:rPr>
              <w:t>The objectives of this course are to:</w:t>
            </w:r>
          </w:p>
          <w:p w14:paraId="099C5AD6">
            <w:pPr>
              <w:numPr>
                <w:ilvl w:val="0"/>
                <w:numId w:val="2"/>
              </w:numPr>
              <w:spacing w:beforeAutospacing="1" w:afterAutospacing="1"/>
            </w:pPr>
            <w:r>
              <w:rPr>
                <w:rStyle w:val="17"/>
              </w:rPr>
              <w:t>Introduce Core Concepts</w:t>
            </w:r>
            <w:r>
              <w:t>: Provide non-psychology students with a foundational understanding of psychology as a scientific discipline, including its major theories, principles, and applications.</w:t>
            </w:r>
          </w:p>
          <w:p w14:paraId="07073FAB">
            <w:pPr>
              <w:numPr>
                <w:ilvl w:val="0"/>
                <w:numId w:val="2"/>
              </w:numPr>
              <w:spacing w:beforeAutospacing="1" w:afterAutospacing="1"/>
            </w:pPr>
            <w:r>
              <w:rPr>
                <w:rStyle w:val="17"/>
              </w:rPr>
              <w:t>Foster Critical Thinking</w:t>
            </w:r>
            <w:r>
              <w:t>: Encourage students to critically evaluate psychological theories and research methods, applying them to real-world contexts.</w:t>
            </w:r>
          </w:p>
          <w:p w14:paraId="46782ACE">
            <w:pPr>
              <w:numPr>
                <w:ilvl w:val="0"/>
                <w:numId w:val="2"/>
              </w:numPr>
              <w:spacing w:beforeAutospacing="1" w:afterAutospacing="1"/>
            </w:pPr>
            <w:r>
              <w:rPr>
                <w:rStyle w:val="17"/>
              </w:rPr>
              <w:t>Explore Human Behavior</w:t>
            </w:r>
            <w:r>
              <w:t>: Examine the biological, cognitive, social, and developmental factors that shape human behavior and mental processes.</w:t>
            </w:r>
          </w:p>
          <w:p w14:paraId="5EBFE9B7">
            <w:pPr>
              <w:numPr>
                <w:ilvl w:val="0"/>
                <w:numId w:val="2"/>
              </w:numPr>
              <w:spacing w:beforeAutospacing="1" w:afterAutospacing="1"/>
            </w:pPr>
            <w:r>
              <w:rPr>
                <w:rStyle w:val="17"/>
              </w:rPr>
              <w:t>Raise Awareness of Mental Health</w:t>
            </w:r>
            <w:r>
              <w:t>: Familiarize students with concepts of psychopathology, treatments, and therapies to promote mental health literacy and reduce stigma.</w:t>
            </w:r>
          </w:p>
          <w:p w14:paraId="47A3E88F">
            <w:pPr>
              <w:numPr>
                <w:ilvl w:val="0"/>
                <w:numId w:val="2"/>
              </w:numPr>
              <w:spacing w:beforeAutospacing="1" w:afterAutospacing="1"/>
            </w:pPr>
            <w:r>
              <w:rPr>
                <w:rStyle w:val="17"/>
              </w:rPr>
              <w:t>Develop Analytical Skills</w:t>
            </w:r>
            <w:r>
              <w:t>: Equip students with the ability to analyze psychological phenomena, such as perception, memory, and motivation, through a scientific lens.</w:t>
            </w:r>
          </w:p>
          <w:p w14:paraId="2497BE91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Expected learning outcomes:</w:t>
            </w:r>
          </w:p>
          <w:p w14:paraId="66F01502">
            <w:pPr>
              <w:pStyle w:val="16"/>
            </w:pPr>
            <w:r>
              <w:t>By the end of this course, students will be able to</w:t>
            </w:r>
            <w:r>
              <w:rPr>
                <w:lang w:val="en-GB"/>
              </w:rPr>
              <w:t xml:space="preserve">: </w:t>
            </w:r>
            <w:r>
              <w:t>Define Psychology and Its Scientific Basis</w:t>
            </w:r>
            <w:r>
              <w:rPr>
                <w:lang w:val="en-GB"/>
              </w:rPr>
              <w:t xml:space="preserve">; </w:t>
            </w:r>
            <w:r>
              <w:t>Understand Theoretical Approaches</w:t>
            </w:r>
            <w:r>
              <w:rPr>
                <w:lang w:val="en-GB"/>
              </w:rPr>
              <w:t xml:space="preserve">; </w:t>
            </w:r>
            <w:r>
              <w:t>Analyze Perceptual Processes</w:t>
            </w:r>
            <w:r>
              <w:rPr>
                <w:lang w:val="en-GB"/>
              </w:rPr>
              <w:t xml:space="preserve">; </w:t>
            </w:r>
            <w:r>
              <w:t>Explain Motivation and Learning</w:t>
            </w:r>
            <w:r>
              <w:rPr>
                <w:lang w:val="en-GB"/>
              </w:rPr>
              <w:t xml:space="preserve">; Understand Addictive Behaviour; </w:t>
            </w:r>
            <w:r>
              <w:t>Understand Memory Processes</w:t>
            </w:r>
            <w:r>
              <w:rPr>
                <w:lang w:val="en-GB"/>
              </w:rPr>
              <w:t xml:space="preserve">; </w:t>
            </w:r>
            <w:r>
              <w:t>Explore Social Psychology</w:t>
            </w:r>
            <w:r>
              <w:rPr>
                <w:lang w:val="en-GB"/>
              </w:rPr>
              <w:t xml:space="preserve">; </w:t>
            </w:r>
            <w:r>
              <w:t xml:space="preserve">Explore </w:t>
            </w:r>
            <w:r>
              <w:rPr>
                <w:lang w:val="en-GB"/>
              </w:rPr>
              <w:t>Developmental</w:t>
            </w:r>
            <w:r>
              <w:t xml:space="preserve"> Psychology</w:t>
            </w:r>
            <w:r>
              <w:rPr>
                <w:lang w:val="en-GB"/>
              </w:rPr>
              <w:t xml:space="preserve">; </w:t>
            </w:r>
            <w:r>
              <w:t>Assess Intelligence and Personality</w:t>
            </w:r>
            <w:r>
              <w:rPr>
                <w:lang w:val="en-GB"/>
              </w:rPr>
              <w:t xml:space="preserve">; and </w:t>
            </w:r>
            <w:r>
              <w:t>Understand Psychopathology and Treatments</w:t>
            </w:r>
            <w:r>
              <w:rPr>
                <w:lang w:val="en-GB"/>
              </w:rPr>
              <w:t xml:space="preserve">. </w:t>
            </w:r>
          </w:p>
          <w:p w14:paraId="2EB73A02">
            <w:pPr>
              <w:pStyle w:val="16"/>
              <w:rPr>
                <w:lang w:val="en-GB"/>
              </w:rPr>
            </w:pPr>
          </w:p>
        </w:tc>
      </w:tr>
    </w:tbl>
    <w:p w14:paraId="77EC2CB9">
      <w:pPr>
        <w:pStyle w:val="8"/>
        <w:rPr>
          <w:rFonts w:ascii="Calibri" w:hAnsi="Calibri" w:cs="Arial"/>
          <w:sz w:val="22"/>
          <w:szCs w:val="22"/>
        </w:rPr>
      </w:pPr>
    </w:p>
    <w:p w14:paraId="6D73F177">
      <w:pPr>
        <w:pStyle w:val="8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br w:type="page"/>
      </w:r>
    </w:p>
    <w:tbl>
      <w:tblPr>
        <w:tblStyle w:val="6"/>
        <w:tblW w:w="10205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"/>
        <w:gridCol w:w="2320"/>
        <w:gridCol w:w="7867"/>
      </w:tblGrid>
      <w:tr w14:paraId="11CE4A21">
        <w:trPr>
          <w:gridBefore w:val="1"/>
          <w:wBefore w:w="18" w:type="dxa"/>
        </w:trPr>
        <w:tc>
          <w:tcPr>
            <w:tcW w:w="101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solid" w:color="auto" w:fill="FFFFFF"/>
          </w:tcPr>
          <w:p w14:paraId="60CCB658">
            <w:pPr>
              <w:snapToGrid w:val="0"/>
              <w:spacing w:before="120" w:after="120"/>
              <w:jc w:val="center"/>
              <w:rPr>
                <w:rFonts w:ascii="Calibri" w:hAnsi="Calibri" w:cs="Arial"/>
                <w:b/>
                <w:smallCaps/>
                <w:sz w:val="22"/>
                <w:szCs w:val="22"/>
              </w:rPr>
            </w:pPr>
            <w:r>
              <w:rPr>
                <w:smallCaps/>
              </w:rPr>
              <w:br w:type="page"/>
            </w:r>
            <w:bookmarkStart w:id="0" w:name="OLE_LINK8"/>
            <w:bookmarkEnd w:id="0"/>
            <w:bookmarkStart w:id="1" w:name="OLE_LINK7"/>
            <w:bookmarkEnd w:id="1"/>
            <w:r>
              <w:rPr>
                <w:smallCaps/>
              </w:rPr>
              <w:br w:type="page"/>
            </w:r>
            <w:r>
              <w:rPr>
                <w:smallCaps/>
              </w:rPr>
              <w:br w:type="page"/>
            </w:r>
            <w:r>
              <w:rPr>
                <w:b/>
                <w:smallCaps/>
              </w:rPr>
              <w:t>Section C:  Assessment Details</w:t>
            </w:r>
          </w:p>
        </w:tc>
      </w:tr>
      <w:tr w14:paraId="44E68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8" w:type="dxa"/>
        </w:trPr>
        <w:tc>
          <w:tcPr>
            <w:tcW w:w="2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6C01EB">
            <w:pPr>
              <w:snapToGrid w:val="0"/>
              <w:spacing w:before="120"/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 xml:space="preserve">Attendance </w:t>
            </w:r>
            <w:r>
              <w:rPr>
                <w:b/>
                <w:smallCaps/>
              </w:rPr>
              <w:br w:type="textWrapping"/>
            </w:r>
          </w:p>
        </w:tc>
        <w:tc>
          <w:tcPr>
            <w:tcW w:w="7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F97C16">
            <w:r>
              <w:t>Attendance will be taken in all sessions. **</w:t>
            </w:r>
            <w:r>
              <w:rPr>
                <w:u w:val="single"/>
              </w:rPr>
              <w:t>Students who do not attend 70% of classes will not qualify for taking the final exam and be given an NA grade. Therefore, will not be able to benefit from the make-up exams</w:t>
            </w:r>
            <w:r>
              <w:t>**</w:t>
            </w:r>
          </w:p>
        </w:tc>
      </w:tr>
      <w:tr w14:paraId="0B1BAD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8" w:type="dxa"/>
        </w:trPr>
        <w:tc>
          <w:tcPr>
            <w:tcW w:w="2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67C4C2">
            <w:pPr>
              <w:snapToGrid w:val="0"/>
              <w:spacing w:before="120"/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Mid-Term EXAMS I &amp; II</w:t>
            </w:r>
          </w:p>
        </w:tc>
        <w:tc>
          <w:tcPr>
            <w:tcW w:w="7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DA4BAD">
            <w:pPr>
              <w:rPr>
                <w:lang w:val="en-GB"/>
              </w:rPr>
            </w:pPr>
            <w:r>
              <w:rPr>
                <w:b/>
              </w:rPr>
              <w:t>Date:</w:t>
            </w:r>
            <w:r>
              <w:t xml:space="preserve"> </w:t>
            </w:r>
            <w:r>
              <w:rPr>
                <w:lang w:val="en-GB"/>
              </w:rPr>
              <w:t>Week 7 and Week 12</w:t>
            </w:r>
          </w:p>
          <w:p w14:paraId="34595B9A">
            <w:r>
              <w:rPr>
                <w:b/>
              </w:rPr>
              <w:t>Weigh</w:t>
            </w:r>
            <w:r>
              <w:rPr>
                <w:b/>
                <w:lang w:val="en-GB"/>
              </w:rPr>
              <w:t>t</w:t>
            </w:r>
            <w:r>
              <w:rPr>
                <w:b/>
              </w:rPr>
              <w:t>:</w:t>
            </w:r>
            <w:r>
              <w:t xml:space="preserve"> </w:t>
            </w:r>
            <w:r>
              <w:rPr>
                <w:lang w:val="en-GB"/>
              </w:rPr>
              <w:t>30</w:t>
            </w:r>
            <w:r>
              <w:t>% each</w:t>
            </w:r>
          </w:p>
          <w:p w14:paraId="070CBA3E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>Format:</w:t>
            </w:r>
            <w:r>
              <w:rPr>
                <w:lang w:val="en-GB"/>
              </w:rPr>
              <w:t xml:space="preserve"> MCQs</w:t>
            </w:r>
          </w:p>
          <w:p w14:paraId="49E19DCF">
            <w:pPr>
              <w:rPr>
                <w:lang w:val="en-GB"/>
              </w:rPr>
            </w:pPr>
            <w:r>
              <w:rPr>
                <w:b/>
              </w:rPr>
              <w:t xml:space="preserve">Coverage: </w:t>
            </w:r>
            <w:r>
              <w:rPr>
                <w:bCs/>
                <w:lang w:val="en-GB"/>
              </w:rPr>
              <w:t>Weeks 1-6 &amp; Weeks 8-11, respectively.</w:t>
            </w:r>
          </w:p>
        </w:tc>
      </w:tr>
      <w:tr w14:paraId="61AC0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8" w:type="dxa"/>
        </w:trPr>
        <w:tc>
          <w:tcPr>
            <w:tcW w:w="2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3039F6">
            <w:pPr>
              <w:snapToGrid w:val="0"/>
              <w:spacing w:before="120"/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Final Exam</w:t>
            </w:r>
          </w:p>
        </w:tc>
        <w:tc>
          <w:tcPr>
            <w:tcW w:w="7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10FD94">
            <w:r>
              <w:rPr>
                <w:b/>
              </w:rPr>
              <w:t>Date:</w:t>
            </w:r>
            <w:r>
              <w:t xml:space="preserve"> </w:t>
            </w:r>
            <w:r>
              <w:rPr>
                <w:b/>
              </w:rPr>
              <w:t>TBA</w:t>
            </w:r>
          </w:p>
          <w:p w14:paraId="43C36B1A">
            <w:r>
              <w:rPr>
                <w:b/>
              </w:rPr>
              <w:t>Weigh</w:t>
            </w:r>
            <w:r>
              <w:rPr>
                <w:b/>
                <w:lang w:val="en-GB"/>
              </w:rPr>
              <w:t>t</w:t>
            </w:r>
            <w:r>
              <w:rPr>
                <w:b/>
              </w:rPr>
              <w:t xml:space="preserve">: </w:t>
            </w:r>
            <w:r>
              <w:rPr>
                <w:bCs/>
                <w:lang w:val="en-GB"/>
              </w:rPr>
              <w:t>40</w:t>
            </w:r>
            <w:r>
              <w:t>%</w:t>
            </w:r>
          </w:p>
          <w:p w14:paraId="2A9F8F54">
            <w:pPr>
              <w:rPr>
                <w:bCs/>
                <w:lang w:val="en-GB"/>
              </w:rPr>
            </w:pPr>
            <w:r>
              <w:rPr>
                <w:b/>
                <w:lang w:val="en-GB"/>
              </w:rPr>
              <w:t>Format</w:t>
            </w:r>
            <w:r>
              <w:rPr>
                <w:bCs/>
                <w:lang w:val="en-GB"/>
              </w:rPr>
              <w:t>: MCQs</w:t>
            </w:r>
          </w:p>
          <w:p w14:paraId="01B6BBDB">
            <w:pPr>
              <w:rPr>
                <w:bCs/>
                <w:lang w:val="en-GB"/>
              </w:rPr>
            </w:pPr>
            <w:r>
              <w:rPr>
                <w:b/>
              </w:rPr>
              <w:t xml:space="preserve">Coverage: </w:t>
            </w:r>
            <w:r>
              <w:rPr>
                <w:bCs/>
                <w:lang w:val="en-GB"/>
              </w:rPr>
              <w:t>All</w:t>
            </w:r>
          </w:p>
        </w:tc>
      </w:tr>
      <w:tr w14:paraId="0540C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9E6CEA">
            <w:pPr>
              <w:snapToGrid w:val="0"/>
              <w:spacing w:before="120" w:after="120"/>
            </w:pPr>
          </w:p>
          <w:p w14:paraId="2F9D513E">
            <w:pPr>
              <w:snapToGrid w:val="0"/>
              <w:spacing w:before="120" w:after="120"/>
            </w:pPr>
          </w:p>
          <w:p w14:paraId="342CD1E6">
            <w:pPr>
              <w:snapToGrid w:val="0"/>
              <w:spacing w:before="120" w:after="120"/>
            </w:pPr>
          </w:p>
          <w:p w14:paraId="04E13FF0">
            <w:pPr>
              <w:snapToGrid w:val="0"/>
              <w:spacing w:before="120" w:after="120"/>
            </w:pPr>
          </w:p>
          <w:p w14:paraId="4991008D">
            <w:pPr>
              <w:snapToGrid w:val="0"/>
              <w:spacing w:before="120" w:after="120"/>
            </w:pPr>
          </w:p>
          <w:p w14:paraId="3416CBE7">
            <w:pPr>
              <w:snapToGrid w:val="0"/>
              <w:spacing w:before="120" w:after="120"/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Grading Scale</w:t>
            </w:r>
          </w:p>
        </w:tc>
        <w:tc>
          <w:tcPr>
            <w:tcW w:w="7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26418D"/>
          <w:tbl>
            <w:tblPr>
              <w:tblStyle w:val="6"/>
              <w:tblW w:w="0" w:type="auto"/>
              <w:jc w:val="center"/>
              <w:tblCellSpacing w:w="15" w:type="dxa"/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1564"/>
              <w:gridCol w:w="1806"/>
              <w:gridCol w:w="1505"/>
            </w:tblGrid>
            <w:tr w14:paraId="5FC51EAF">
              <w:tblPrEx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1519" w:type="dxa"/>
                  <w:shd w:val="clear" w:color="auto" w:fill="auto"/>
                  <w:vAlign w:val="center"/>
                </w:tcPr>
                <w:p w14:paraId="0C15E242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b/>
                      <w:bCs/>
                      <w:smallCaps/>
                      <w:lang w:eastAsia="en-AU"/>
                    </w:rPr>
                  </w:pPr>
                  <w:r>
                    <w:rPr>
                      <w:b/>
                      <w:bCs/>
                      <w:smallCaps/>
                      <w:lang w:eastAsia="en-AU"/>
                    </w:rPr>
                    <w:t xml:space="preserve">Percentage </w:t>
                  </w:r>
                </w:p>
              </w:tc>
              <w:tc>
                <w:tcPr>
                  <w:tcW w:w="1776" w:type="dxa"/>
                  <w:shd w:val="clear" w:color="auto" w:fill="auto"/>
                  <w:vAlign w:val="center"/>
                </w:tcPr>
                <w:p w14:paraId="192A91D2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b/>
                      <w:bCs/>
                      <w:smallCaps/>
                      <w:lang w:eastAsia="en-AU"/>
                    </w:rPr>
                  </w:pPr>
                  <w:r>
                    <w:rPr>
                      <w:b/>
                      <w:bCs/>
                      <w:smallCaps/>
                      <w:lang w:eastAsia="en-AU"/>
                    </w:rPr>
                    <w:t xml:space="preserve">Course grade </w:t>
                  </w:r>
                </w:p>
              </w:tc>
              <w:tc>
                <w:tcPr>
                  <w:tcW w:w="1460" w:type="dxa"/>
                  <w:shd w:val="clear" w:color="auto" w:fill="auto"/>
                  <w:vAlign w:val="center"/>
                </w:tcPr>
                <w:p w14:paraId="0D547BF4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b/>
                      <w:bCs/>
                      <w:smallCaps/>
                      <w:lang w:eastAsia="en-AU"/>
                    </w:rPr>
                  </w:pPr>
                  <w:r>
                    <w:rPr>
                      <w:b/>
                      <w:bCs/>
                      <w:smallCaps/>
                      <w:lang w:eastAsia="en-AU"/>
                    </w:rPr>
                    <w:t xml:space="preserve">Coefficient </w:t>
                  </w:r>
                </w:p>
              </w:tc>
            </w:tr>
            <w:tr w14:paraId="347DC5FD">
              <w:tblPrEx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1519" w:type="dxa"/>
                  <w:shd w:val="clear" w:color="auto" w:fill="auto"/>
                </w:tcPr>
                <w:p w14:paraId="4F117D3E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b/>
                      <w:bCs/>
                      <w:lang w:eastAsia="en-AU"/>
                    </w:rPr>
                  </w:pPr>
                  <w:r>
                    <w:rPr>
                      <w:b/>
                      <w:bCs/>
                      <w:lang w:eastAsia="en-AU"/>
                    </w:rPr>
                    <w:t xml:space="preserve">90-100 </w:t>
                  </w:r>
                </w:p>
              </w:tc>
              <w:tc>
                <w:tcPr>
                  <w:tcW w:w="1776" w:type="dxa"/>
                  <w:shd w:val="clear" w:color="auto" w:fill="auto"/>
                </w:tcPr>
                <w:p w14:paraId="7595D642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lang w:eastAsia="en-AU"/>
                    </w:rPr>
                  </w:pPr>
                  <w:r>
                    <w:rPr>
                      <w:lang w:eastAsia="en-AU"/>
                    </w:rPr>
                    <w:t xml:space="preserve"> AA </w:t>
                  </w:r>
                </w:p>
              </w:tc>
              <w:tc>
                <w:tcPr>
                  <w:tcW w:w="1460" w:type="dxa"/>
                  <w:shd w:val="clear" w:color="auto" w:fill="auto"/>
                </w:tcPr>
                <w:p w14:paraId="42268BDC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lang w:eastAsia="en-AU"/>
                    </w:rPr>
                  </w:pPr>
                  <w:r>
                    <w:rPr>
                      <w:lang w:eastAsia="en-AU"/>
                    </w:rPr>
                    <w:t xml:space="preserve"> 4 </w:t>
                  </w:r>
                </w:p>
              </w:tc>
            </w:tr>
            <w:tr w14:paraId="57BA380D">
              <w:tblPrEx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1519" w:type="dxa"/>
                  <w:shd w:val="clear" w:color="auto" w:fill="auto"/>
                </w:tcPr>
                <w:p w14:paraId="2A95D0AE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b/>
                      <w:bCs/>
                      <w:lang w:eastAsia="en-AU"/>
                    </w:rPr>
                  </w:pPr>
                  <w:r>
                    <w:rPr>
                      <w:b/>
                      <w:bCs/>
                      <w:lang w:eastAsia="en-AU"/>
                    </w:rPr>
                    <w:t xml:space="preserve">85-89 </w:t>
                  </w:r>
                </w:p>
              </w:tc>
              <w:tc>
                <w:tcPr>
                  <w:tcW w:w="1776" w:type="dxa"/>
                  <w:shd w:val="clear" w:color="auto" w:fill="auto"/>
                </w:tcPr>
                <w:p w14:paraId="10441980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lang w:eastAsia="en-AU"/>
                    </w:rPr>
                  </w:pPr>
                  <w:r>
                    <w:rPr>
                      <w:lang w:eastAsia="en-AU"/>
                    </w:rPr>
                    <w:t xml:space="preserve"> BA </w:t>
                  </w:r>
                </w:p>
              </w:tc>
              <w:tc>
                <w:tcPr>
                  <w:tcW w:w="1460" w:type="dxa"/>
                  <w:shd w:val="clear" w:color="auto" w:fill="auto"/>
                </w:tcPr>
                <w:p w14:paraId="0DD71E77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lang w:eastAsia="en-AU"/>
                    </w:rPr>
                  </w:pPr>
                  <w:r>
                    <w:rPr>
                      <w:lang w:eastAsia="en-AU"/>
                    </w:rPr>
                    <w:t xml:space="preserve"> 3.5 </w:t>
                  </w:r>
                </w:p>
              </w:tc>
            </w:tr>
            <w:tr w14:paraId="463ED599">
              <w:tblPrEx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1519" w:type="dxa"/>
                  <w:shd w:val="clear" w:color="auto" w:fill="auto"/>
                </w:tcPr>
                <w:p w14:paraId="2BF84396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b/>
                      <w:bCs/>
                      <w:lang w:eastAsia="en-AU"/>
                    </w:rPr>
                  </w:pPr>
                  <w:r>
                    <w:rPr>
                      <w:b/>
                      <w:bCs/>
                      <w:lang w:eastAsia="en-AU"/>
                    </w:rPr>
                    <w:t xml:space="preserve">80-84 </w:t>
                  </w:r>
                </w:p>
              </w:tc>
              <w:tc>
                <w:tcPr>
                  <w:tcW w:w="1776" w:type="dxa"/>
                  <w:shd w:val="clear" w:color="auto" w:fill="auto"/>
                </w:tcPr>
                <w:p w14:paraId="0E87D9D9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lang w:eastAsia="en-AU"/>
                    </w:rPr>
                  </w:pPr>
                  <w:r>
                    <w:rPr>
                      <w:lang w:eastAsia="en-AU"/>
                    </w:rPr>
                    <w:t xml:space="preserve"> BB </w:t>
                  </w:r>
                </w:p>
              </w:tc>
              <w:tc>
                <w:tcPr>
                  <w:tcW w:w="1460" w:type="dxa"/>
                  <w:shd w:val="clear" w:color="auto" w:fill="auto"/>
                </w:tcPr>
                <w:p w14:paraId="3FAE4390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lang w:eastAsia="en-AU"/>
                    </w:rPr>
                  </w:pPr>
                  <w:r>
                    <w:rPr>
                      <w:lang w:eastAsia="en-AU"/>
                    </w:rPr>
                    <w:t xml:space="preserve">3 </w:t>
                  </w:r>
                </w:p>
              </w:tc>
            </w:tr>
            <w:tr w14:paraId="2F6FDC0A">
              <w:tblPrEx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1519" w:type="dxa"/>
                  <w:shd w:val="clear" w:color="auto" w:fill="auto"/>
                </w:tcPr>
                <w:p w14:paraId="3D7517D4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b/>
                      <w:bCs/>
                      <w:lang w:eastAsia="en-AU"/>
                    </w:rPr>
                  </w:pPr>
                  <w:r>
                    <w:rPr>
                      <w:b/>
                      <w:bCs/>
                      <w:lang w:eastAsia="en-AU"/>
                    </w:rPr>
                    <w:t xml:space="preserve">75-79 </w:t>
                  </w:r>
                </w:p>
              </w:tc>
              <w:tc>
                <w:tcPr>
                  <w:tcW w:w="1776" w:type="dxa"/>
                  <w:shd w:val="clear" w:color="auto" w:fill="auto"/>
                </w:tcPr>
                <w:p w14:paraId="23C2B17B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lang w:eastAsia="en-AU"/>
                    </w:rPr>
                  </w:pPr>
                  <w:r>
                    <w:rPr>
                      <w:lang w:eastAsia="en-AU"/>
                    </w:rPr>
                    <w:t xml:space="preserve"> CB </w:t>
                  </w:r>
                </w:p>
              </w:tc>
              <w:tc>
                <w:tcPr>
                  <w:tcW w:w="1460" w:type="dxa"/>
                  <w:shd w:val="clear" w:color="auto" w:fill="auto"/>
                </w:tcPr>
                <w:p w14:paraId="46A69336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lang w:eastAsia="en-AU"/>
                    </w:rPr>
                  </w:pPr>
                  <w:r>
                    <w:rPr>
                      <w:lang w:eastAsia="en-AU"/>
                    </w:rPr>
                    <w:t xml:space="preserve"> 2.5 </w:t>
                  </w:r>
                </w:p>
              </w:tc>
            </w:tr>
            <w:tr w14:paraId="5F8CD84B">
              <w:tblPrEx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1519" w:type="dxa"/>
                  <w:shd w:val="clear" w:color="auto" w:fill="auto"/>
                </w:tcPr>
                <w:p w14:paraId="2DC93506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b/>
                      <w:bCs/>
                      <w:lang w:eastAsia="en-AU"/>
                    </w:rPr>
                  </w:pPr>
                  <w:r>
                    <w:rPr>
                      <w:b/>
                      <w:bCs/>
                      <w:lang w:eastAsia="en-AU"/>
                    </w:rPr>
                    <w:t xml:space="preserve">70-74 </w:t>
                  </w:r>
                </w:p>
              </w:tc>
              <w:tc>
                <w:tcPr>
                  <w:tcW w:w="1776" w:type="dxa"/>
                  <w:shd w:val="clear" w:color="auto" w:fill="auto"/>
                </w:tcPr>
                <w:p w14:paraId="288D6951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lang w:eastAsia="en-AU"/>
                    </w:rPr>
                  </w:pPr>
                  <w:r>
                    <w:rPr>
                      <w:lang w:eastAsia="en-AU"/>
                    </w:rPr>
                    <w:t xml:space="preserve"> CC </w:t>
                  </w:r>
                </w:p>
              </w:tc>
              <w:tc>
                <w:tcPr>
                  <w:tcW w:w="1460" w:type="dxa"/>
                  <w:shd w:val="clear" w:color="auto" w:fill="auto"/>
                </w:tcPr>
                <w:p w14:paraId="49847E98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lang w:eastAsia="en-AU"/>
                    </w:rPr>
                  </w:pPr>
                  <w:r>
                    <w:rPr>
                      <w:lang w:eastAsia="en-AU"/>
                    </w:rPr>
                    <w:t xml:space="preserve"> 2 </w:t>
                  </w:r>
                </w:p>
              </w:tc>
            </w:tr>
            <w:tr w14:paraId="697E6937">
              <w:tblPrEx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1519" w:type="dxa"/>
                  <w:shd w:val="clear" w:color="auto" w:fill="auto"/>
                </w:tcPr>
                <w:p w14:paraId="4A1B358A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b/>
                      <w:bCs/>
                      <w:lang w:eastAsia="en-AU"/>
                    </w:rPr>
                  </w:pPr>
                  <w:r>
                    <w:rPr>
                      <w:b/>
                      <w:bCs/>
                      <w:lang w:eastAsia="en-AU"/>
                    </w:rPr>
                    <w:t xml:space="preserve">65-69 </w:t>
                  </w:r>
                </w:p>
              </w:tc>
              <w:tc>
                <w:tcPr>
                  <w:tcW w:w="1776" w:type="dxa"/>
                  <w:shd w:val="clear" w:color="auto" w:fill="auto"/>
                </w:tcPr>
                <w:p w14:paraId="1BB564B2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lang w:eastAsia="en-AU"/>
                    </w:rPr>
                  </w:pPr>
                  <w:r>
                    <w:rPr>
                      <w:lang w:eastAsia="en-AU"/>
                    </w:rPr>
                    <w:t xml:space="preserve">DC </w:t>
                  </w:r>
                </w:p>
              </w:tc>
              <w:tc>
                <w:tcPr>
                  <w:tcW w:w="1460" w:type="dxa"/>
                  <w:shd w:val="clear" w:color="auto" w:fill="auto"/>
                </w:tcPr>
                <w:p w14:paraId="420C4EAB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lang w:eastAsia="en-AU"/>
                    </w:rPr>
                  </w:pPr>
                  <w:r>
                    <w:rPr>
                      <w:lang w:eastAsia="en-AU"/>
                    </w:rPr>
                    <w:t xml:space="preserve">1.5 </w:t>
                  </w:r>
                </w:p>
              </w:tc>
            </w:tr>
            <w:tr w14:paraId="59307F7B">
              <w:tblPrEx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1519" w:type="dxa"/>
                  <w:shd w:val="clear" w:color="auto" w:fill="auto"/>
                </w:tcPr>
                <w:p w14:paraId="394B5ABD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b/>
                      <w:bCs/>
                      <w:lang w:eastAsia="en-AU"/>
                    </w:rPr>
                  </w:pPr>
                  <w:r>
                    <w:rPr>
                      <w:b/>
                      <w:bCs/>
                      <w:lang w:eastAsia="en-AU"/>
                    </w:rPr>
                    <w:t xml:space="preserve">60-64  </w:t>
                  </w:r>
                </w:p>
              </w:tc>
              <w:tc>
                <w:tcPr>
                  <w:tcW w:w="1776" w:type="dxa"/>
                  <w:shd w:val="clear" w:color="auto" w:fill="auto"/>
                </w:tcPr>
                <w:p w14:paraId="11FF241A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lang w:eastAsia="en-AU"/>
                    </w:rPr>
                  </w:pPr>
                  <w:r>
                    <w:rPr>
                      <w:lang w:eastAsia="en-AU"/>
                    </w:rPr>
                    <w:t xml:space="preserve">DD </w:t>
                  </w:r>
                </w:p>
              </w:tc>
              <w:tc>
                <w:tcPr>
                  <w:tcW w:w="1460" w:type="dxa"/>
                  <w:shd w:val="clear" w:color="auto" w:fill="auto"/>
                </w:tcPr>
                <w:p w14:paraId="0B2F9B52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lang w:eastAsia="en-AU"/>
                    </w:rPr>
                  </w:pPr>
                  <w:r>
                    <w:rPr>
                      <w:lang w:eastAsia="en-AU"/>
                    </w:rPr>
                    <w:t xml:space="preserve"> 1 </w:t>
                  </w:r>
                </w:p>
              </w:tc>
            </w:tr>
            <w:tr w14:paraId="3CB30D8D">
              <w:tblPrEx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1519" w:type="dxa"/>
                  <w:shd w:val="clear" w:color="auto" w:fill="auto"/>
                </w:tcPr>
                <w:p w14:paraId="2ED9EC43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b/>
                      <w:bCs/>
                      <w:lang w:eastAsia="en-AU"/>
                    </w:rPr>
                  </w:pPr>
                  <w:r>
                    <w:rPr>
                      <w:b/>
                      <w:bCs/>
                      <w:lang w:eastAsia="en-AU"/>
                    </w:rPr>
                    <w:t xml:space="preserve">50-59 </w:t>
                  </w:r>
                </w:p>
              </w:tc>
              <w:tc>
                <w:tcPr>
                  <w:tcW w:w="1776" w:type="dxa"/>
                  <w:shd w:val="clear" w:color="auto" w:fill="auto"/>
                </w:tcPr>
                <w:p w14:paraId="34792E76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lang w:eastAsia="en-AU"/>
                    </w:rPr>
                  </w:pPr>
                  <w:r>
                    <w:rPr>
                      <w:lang w:eastAsia="en-AU"/>
                    </w:rPr>
                    <w:t xml:space="preserve">FD </w:t>
                  </w:r>
                </w:p>
              </w:tc>
              <w:tc>
                <w:tcPr>
                  <w:tcW w:w="1460" w:type="dxa"/>
                  <w:shd w:val="clear" w:color="auto" w:fill="auto"/>
                </w:tcPr>
                <w:p w14:paraId="04B65B84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lang w:eastAsia="en-AU"/>
                    </w:rPr>
                  </w:pPr>
                  <w:r>
                    <w:rPr>
                      <w:lang w:eastAsia="en-AU"/>
                    </w:rPr>
                    <w:t xml:space="preserve">0.5 </w:t>
                  </w:r>
                </w:p>
              </w:tc>
            </w:tr>
            <w:tr w14:paraId="16476BE3">
              <w:tblPrEx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1519" w:type="dxa"/>
                  <w:shd w:val="clear" w:color="auto" w:fill="auto"/>
                </w:tcPr>
                <w:p w14:paraId="7708FF97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b/>
                      <w:bCs/>
                      <w:lang w:eastAsia="en-AU"/>
                    </w:rPr>
                  </w:pPr>
                  <w:r>
                    <w:rPr>
                      <w:b/>
                      <w:bCs/>
                      <w:lang w:eastAsia="en-AU"/>
                    </w:rPr>
                    <w:t xml:space="preserve">49 and below </w:t>
                  </w:r>
                </w:p>
              </w:tc>
              <w:tc>
                <w:tcPr>
                  <w:tcW w:w="1776" w:type="dxa"/>
                  <w:shd w:val="clear" w:color="auto" w:fill="auto"/>
                </w:tcPr>
                <w:p w14:paraId="3336B4E6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lang w:eastAsia="en-AU"/>
                    </w:rPr>
                  </w:pPr>
                  <w:r>
                    <w:rPr>
                      <w:lang w:eastAsia="en-AU"/>
                    </w:rPr>
                    <w:t xml:space="preserve"> FF </w:t>
                  </w:r>
                </w:p>
              </w:tc>
              <w:tc>
                <w:tcPr>
                  <w:tcW w:w="1460" w:type="dxa"/>
                  <w:shd w:val="clear" w:color="auto" w:fill="auto"/>
                </w:tcPr>
                <w:p w14:paraId="045D18FC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lang w:eastAsia="en-AU"/>
                    </w:rPr>
                  </w:pPr>
                  <w:r>
                    <w:rPr>
                      <w:lang w:eastAsia="en-AU"/>
                    </w:rPr>
                    <w:t xml:space="preserve"> 0 </w:t>
                  </w:r>
                </w:p>
              </w:tc>
            </w:tr>
            <w:tr w14:paraId="0210D3A3">
              <w:tblPrEx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1519" w:type="dxa"/>
                  <w:shd w:val="clear" w:color="auto" w:fill="auto"/>
                </w:tcPr>
                <w:p w14:paraId="1C48C480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b/>
                      <w:bCs/>
                      <w:lang w:eastAsia="en-AU"/>
                    </w:rPr>
                  </w:pPr>
                  <w:r>
                    <w:rPr>
                      <w:b/>
                      <w:bCs/>
                      <w:lang w:eastAsia="en-AU"/>
                    </w:rPr>
                    <w:t>Incomplete</w:t>
                  </w:r>
                </w:p>
              </w:tc>
              <w:tc>
                <w:tcPr>
                  <w:tcW w:w="1776" w:type="dxa"/>
                  <w:shd w:val="clear" w:color="auto" w:fill="auto"/>
                </w:tcPr>
                <w:p w14:paraId="04D7C194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lang w:eastAsia="en-AU"/>
                    </w:rPr>
                  </w:pPr>
                  <w:r>
                    <w:rPr>
                      <w:lang w:eastAsia="en-AU"/>
                    </w:rPr>
                    <w:t>I</w:t>
                  </w:r>
                </w:p>
              </w:tc>
              <w:tc>
                <w:tcPr>
                  <w:tcW w:w="1460" w:type="dxa"/>
                  <w:shd w:val="clear" w:color="auto" w:fill="auto"/>
                </w:tcPr>
                <w:p w14:paraId="715D9B7E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lang w:eastAsia="en-AU"/>
                    </w:rPr>
                  </w:pPr>
                  <w:r>
                    <w:rPr>
                      <w:lang w:eastAsia="en-AU"/>
                    </w:rPr>
                    <w:t>N/A</w:t>
                  </w:r>
                </w:p>
              </w:tc>
            </w:tr>
            <w:tr w14:paraId="692185D8">
              <w:tblPrEx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1519" w:type="dxa"/>
                  <w:shd w:val="clear" w:color="auto" w:fill="auto"/>
                </w:tcPr>
                <w:p w14:paraId="29B941CF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b/>
                      <w:bCs/>
                      <w:lang w:eastAsia="en-AU"/>
                    </w:rPr>
                  </w:pPr>
                  <w:r>
                    <w:rPr>
                      <w:b/>
                      <w:bCs/>
                      <w:lang w:eastAsia="en-AU"/>
                    </w:rPr>
                    <w:t>Withdrawn</w:t>
                  </w:r>
                </w:p>
              </w:tc>
              <w:tc>
                <w:tcPr>
                  <w:tcW w:w="1776" w:type="dxa"/>
                  <w:shd w:val="clear" w:color="auto" w:fill="auto"/>
                </w:tcPr>
                <w:p w14:paraId="1920CF53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lang w:eastAsia="en-AU"/>
                    </w:rPr>
                  </w:pPr>
                  <w:r>
                    <w:rPr>
                      <w:lang w:eastAsia="en-AU"/>
                    </w:rPr>
                    <w:t>W</w:t>
                  </w:r>
                </w:p>
              </w:tc>
              <w:tc>
                <w:tcPr>
                  <w:tcW w:w="1460" w:type="dxa"/>
                  <w:shd w:val="clear" w:color="auto" w:fill="auto"/>
                </w:tcPr>
                <w:p w14:paraId="69E7EAC8">
                  <w:pPr>
                    <w:suppressAutoHyphens w:val="0"/>
                    <w:spacing w:before="100" w:beforeAutospacing="1" w:after="100" w:afterAutospacing="1"/>
                    <w:jc w:val="center"/>
                    <w:rPr>
                      <w:lang w:eastAsia="en-AU"/>
                    </w:rPr>
                  </w:pPr>
                  <w:r>
                    <w:rPr>
                      <w:lang w:eastAsia="en-AU"/>
                    </w:rPr>
                    <w:t>N/A</w:t>
                  </w:r>
                </w:p>
              </w:tc>
            </w:tr>
          </w:tbl>
          <w:p w14:paraId="0AE9AAFB">
            <w:pPr>
              <w:snapToGrid w:val="0"/>
              <w:spacing w:before="120" w:after="120"/>
              <w:rPr>
                <w:color w:val="000000"/>
              </w:rPr>
            </w:pPr>
          </w:p>
        </w:tc>
      </w:tr>
      <w:tr w14:paraId="61254F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D27680">
            <w:pPr>
              <w:snapToGrid w:val="0"/>
              <w:spacing w:before="120" w:after="120"/>
              <w:rPr>
                <w:b/>
                <w:smallCaps/>
              </w:rPr>
            </w:pPr>
          </w:p>
          <w:p w14:paraId="04EA2C2D">
            <w:pPr>
              <w:snapToGrid w:val="0"/>
              <w:spacing w:before="120" w:after="120"/>
              <w:rPr>
                <w:b/>
                <w:smallCaps/>
              </w:rPr>
            </w:pPr>
            <w:r>
              <w:rPr>
                <w:b/>
                <w:smallCaps/>
              </w:rPr>
              <w:t>Make-up exams</w:t>
            </w:r>
          </w:p>
        </w:tc>
        <w:tc>
          <w:tcPr>
            <w:tcW w:w="7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539BFD">
            <w:pPr>
              <w:snapToGrid w:val="0"/>
              <w:spacing w:before="120" w:after="120"/>
            </w:pPr>
            <w:r>
              <w:t xml:space="preserve">Make-up exams are only possible for those students who have compelling reasons that prevented them from attending an exam and this should be evidenced by a medical certificate.  </w:t>
            </w:r>
            <w:r>
              <w:rPr>
                <w:highlight w:val="yellow"/>
              </w:rPr>
              <w:t>In such situations, please contact the lecturer as soon as possible</w:t>
            </w:r>
            <w:r>
              <w:t>.</w:t>
            </w:r>
          </w:p>
        </w:tc>
      </w:tr>
    </w:tbl>
    <w:p w14:paraId="43C93324">
      <w:pPr>
        <w:rPr>
          <w:i/>
        </w:rPr>
      </w:pPr>
    </w:p>
    <w:p w14:paraId="4CEC306A">
      <w:pPr>
        <w:rPr>
          <w:rFonts w:ascii="Calibri" w:hAnsi="Calibri"/>
          <w:i/>
        </w:rPr>
      </w:pPr>
    </w:p>
    <w:p w14:paraId="21893E66">
      <w:pPr>
        <w:rPr>
          <w:rFonts w:ascii="Calibri" w:hAnsi="Calibri"/>
          <w:i/>
        </w:rPr>
      </w:pPr>
    </w:p>
    <w:p w14:paraId="510C14C1">
      <w:p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br w:type="page"/>
      </w:r>
    </w:p>
    <w:tbl>
      <w:tblPr>
        <w:tblStyle w:val="6"/>
        <w:tblW w:w="1020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6077"/>
        <w:gridCol w:w="2286"/>
      </w:tblGrid>
      <w:tr w14:paraId="5E654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206" w:type="dxa"/>
            <w:gridSpan w:val="3"/>
            <w:shd w:val="solid" w:color="auto" w:fill="auto"/>
            <w:vAlign w:val="center"/>
          </w:tcPr>
          <w:p w14:paraId="5C9FBE68">
            <w:pPr>
              <w:snapToGrid w:val="0"/>
              <w:spacing w:before="120" w:after="120"/>
              <w:jc w:val="center"/>
              <w:rPr>
                <w:b/>
              </w:rPr>
            </w:pPr>
            <w:r>
              <w:rPr>
                <w:b/>
                <w:smallCaps/>
              </w:rPr>
              <w:t xml:space="preserve">Section </w:t>
            </w:r>
            <w:r>
              <w:rPr>
                <w:b/>
                <w:smallCaps/>
                <w:lang w:val="en-GB"/>
              </w:rPr>
              <w:t>D</w:t>
            </w:r>
            <w:r>
              <w:rPr>
                <w:b/>
                <w:smallCaps/>
              </w:rPr>
              <w:t>: Teaching Schedule</w:t>
            </w:r>
          </w:p>
        </w:tc>
      </w:tr>
      <w:tr w14:paraId="78EF0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auto"/>
            <w:vAlign w:val="center"/>
          </w:tcPr>
          <w:p w14:paraId="2AC551DE">
            <w:pPr>
              <w:spacing w:after="120"/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Week</w:t>
            </w:r>
          </w:p>
        </w:tc>
        <w:tc>
          <w:tcPr>
            <w:tcW w:w="6077" w:type="dxa"/>
            <w:shd w:val="clear" w:color="auto" w:fill="auto"/>
            <w:vAlign w:val="center"/>
          </w:tcPr>
          <w:p w14:paraId="6EDCD5CD">
            <w:pPr>
              <w:snapToGrid w:val="0"/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 xml:space="preserve">Lecture Topic </w:t>
            </w:r>
          </w:p>
        </w:tc>
        <w:tc>
          <w:tcPr>
            <w:tcW w:w="2286" w:type="dxa"/>
          </w:tcPr>
          <w:p w14:paraId="02E86B3A">
            <w:pPr>
              <w:snapToGrid w:val="0"/>
              <w:spacing w:before="120" w:after="120"/>
              <w:jc w:val="center"/>
              <w:rPr>
                <w:b/>
                <w:lang w:val="en-GB"/>
              </w:rPr>
            </w:pPr>
            <w:r>
              <w:rPr>
                <w:b/>
              </w:rPr>
              <w:br w:type="textWrapping"/>
            </w:r>
            <w:r>
              <w:rPr>
                <w:b/>
                <w:lang w:val="en-GB"/>
              </w:rPr>
              <w:t>Chapter</w:t>
            </w:r>
          </w:p>
        </w:tc>
      </w:tr>
      <w:tr w14:paraId="7806D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auto"/>
            <w:vAlign w:val="center"/>
          </w:tcPr>
          <w:p w14:paraId="437BD123">
            <w:pPr>
              <w:jc w:val="left"/>
              <w:rPr>
                <w:b/>
                <w:lang w:val="en-GB"/>
              </w:rPr>
            </w:pPr>
            <w:r>
              <w:rPr>
                <w:b/>
                <w:lang w:val="en-GB"/>
              </w:rPr>
              <w:t>Week 1</w:t>
            </w:r>
          </w:p>
        </w:tc>
        <w:tc>
          <w:tcPr>
            <w:tcW w:w="6077" w:type="dxa"/>
            <w:shd w:val="clear" w:color="auto" w:fill="auto"/>
          </w:tcPr>
          <w:p w14:paraId="1BF725EF">
            <w:pPr>
              <w:snapToGrid w:val="0"/>
              <w:spacing w:before="120" w:after="120"/>
              <w:rPr>
                <w:lang w:val="en-GB"/>
              </w:rPr>
            </w:pPr>
            <w:r>
              <w:rPr>
                <w:lang w:val="en-GB"/>
              </w:rPr>
              <w:t>What is Psychology? &amp; Psychology as a Science</w:t>
            </w:r>
          </w:p>
        </w:tc>
        <w:tc>
          <w:tcPr>
            <w:tcW w:w="2286" w:type="dxa"/>
          </w:tcPr>
          <w:p w14:paraId="1F46FB01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1-3</w:t>
            </w:r>
          </w:p>
        </w:tc>
      </w:tr>
      <w:tr w14:paraId="2F7B7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auto"/>
            <w:vAlign w:val="center"/>
          </w:tcPr>
          <w:p w14:paraId="1BC95611">
            <w:pPr>
              <w:jc w:val="left"/>
              <w:rPr>
                <w:b/>
                <w:lang w:val="en-GB"/>
              </w:rPr>
            </w:pPr>
            <w:r>
              <w:rPr>
                <w:b/>
                <w:lang w:val="en-GB"/>
              </w:rPr>
              <w:t>Week 2</w:t>
            </w:r>
          </w:p>
        </w:tc>
        <w:tc>
          <w:tcPr>
            <w:tcW w:w="6077" w:type="dxa"/>
            <w:shd w:val="clear" w:color="auto" w:fill="auto"/>
          </w:tcPr>
          <w:p w14:paraId="1E15C799">
            <w:pPr>
              <w:snapToGrid w:val="0"/>
              <w:spacing w:before="120" w:after="120"/>
            </w:pPr>
            <w:r>
              <w:rPr>
                <w:lang w:val="en-GB"/>
              </w:rPr>
              <w:t>Theoretical Approaches</w:t>
            </w:r>
            <w:r>
              <w:t xml:space="preserve"> </w:t>
            </w:r>
            <w:r>
              <w:rPr>
                <w:lang w:val="en-GB"/>
              </w:rPr>
              <w:t>to</w:t>
            </w:r>
            <w:r>
              <w:t xml:space="preserve"> Psychology </w:t>
            </w:r>
          </w:p>
        </w:tc>
        <w:tc>
          <w:tcPr>
            <w:tcW w:w="2286" w:type="dxa"/>
          </w:tcPr>
          <w:p w14:paraId="75B433A9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2</w:t>
            </w:r>
          </w:p>
        </w:tc>
      </w:tr>
      <w:tr w14:paraId="6DC1A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auto"/>
            <w:vAlign w:val="center"/>
          </w:tcPr>
          <w:p w14:paraId="4A58E658">
            <w:pPr>
              <w:jc w:val="left"/>
              <w:rPr>
                <w:b/>
                <w:lang w:val="en-GB"/>
              </w:rPr>
            </w:pPr>
            <w:r>
              <w:rPr>
                <w:b/>
                <w:lang w:val="en-GB"/>
              </w:rPr>
              <w:t>Week 3</w:t>
            </w:r>
          </w:p>
        </w:tc>
        <w:tc>
          <w:tcPr>
            <w:tcW w:w="6077" w:type="dxa"/>
            <w:shd w:val="clear" w:color="auto" w:fill="auto"/>
          </w:tcPr>
          <w:p w14:paraId="45563614">
            <w:pPr>
              <w:snapToGrid w:val="0"/>
              <w:spacing w:before="120" w:after="120"/>
              <w:rPr>
                <w:lang w:val="en-GB"/>
              </w:rPr>
            </w:pPr>
            <w:r>
              <w:rPr>
                <w:lang w:val="en-GB"/>
              </w:rPr>
              <w:t>Learning</w:t>
            </w:r>
          </w:p>
        </w:tc>
        <w:tc>
          <w:tcPr>
            <w:tcW w:w="2286" w:type="dxa"/>
          </w:tcPr>
          <w:p w14:paraId="1A1DA0B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11</w:t>
            </w:r>
          </w:p>
        </w:tc>
      </w:tr>
      <w:tr w14:paraId="37E62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auto"/>
            <w:vAlign w:val="center"/>
          </w:tcPr>
          <w:p w14:paraId="358F34E4">
            <w:pPr>
              <w:jc w:val="left"/>
              <w:rPr>
                <w:b/>
                <w:lang w:val="en-GB"/>
              </w:rPr>
            </w:pPr>
            <w:r>
              <w:rPr>
                <w:b/>
                <w:lang w:val="en-GB"/>
              </w:rPr>
              <w:t>Week 4</w:t>
            </w:r>
          </w:p>
        </w:tc>
        <w:tc>
          <w:tcPr>
            <w:tcW w:w="6077" w:type="dxa"/>
            <w:shd w:val="clear" w:color="auto" w:fill="auto"/>
          </w:tcPr>
          <w:p w14:paraId="54CF9A72">
            <w:pPr>
              <w:snapToGrid w:val="0"/>
              <w:spacing w:before="120" w:after="120"/>
              <w:rPr>
                <w:lang w:val="en-GB"/>
              </w:rPr>
            </w:pPr>
            <w:r>
              <w:rPr>
                <w:lang w:val="en-GB"/>
              </w:rPr>
              <w:t>Motivation</w:t>
            </w:r>
          </w:p>
        </w:tc>
        <w:tc>
          <w:tcPr>
            <w:tcW w:w="2286" w:type="dxa"/>
          </w:tcPr>
          <w:p w14:paraId="0BEA50E0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9</w:t>
            </w:r>
          </w:p>
        </w:tc>
      </w:tr>
      <w:tr w14:paraId="76F30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auto"/>
            <w:vAlign w:val="center"/>
          </w:tcPr>
          <w:p w14:paraId="3A2401A9">
            <w:pPr>
              <w:jc w:val="left"/>
              <w:rPr>
                <w:b/>
                <w:lang w:val="en-GB"/>
              </w:rPr>
            </w:pPr>
            <w:r>
              <w:rPr>
                <w:b/>
                <w:lang w:val="en-GB"/>
              </w:rPr>
              <w:t>Week 5</w:t>
            </w:r>
          </w:p>
        </w:tc>
        <w:tc>
          <w:tcPr>
            <w:tcW w:w="6077" w:type="dxa"/>
            <w:shd w:val="clear" w:color="auto" w:fill="auto"/>
          </w:tcPr>
          <w:p w14:paraId="75269BD1">
            <w:pPr>
              <w:snapToGrid w:val="0"/>
              <w:spacing w:before="120" w:after="120"/>
              <w:rPr>
                <w:lang w:val="en-GB"/>
              </w:rPr>
            </w:pPr>
            <w:r>
              <w:rPr>
                <w:lang w:val="en-GB"/>
              </w:rPr>
              <w:t>Perception</w:t>
            </w:r>
          </w:p>
        </w:tc>
        <w:tc>
          <w:tcPr>
            <w:tcW w:w="2286" w:type="dxa"/>
          </w:tcPr>
          <w:p w14:paraId="7D4B8586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15</w:t>
            </w:r>
          </w:p>
        </w:tc>
      </w:tr>
      <w:tr w14:paraId="3342C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auto"/>
            <w:vAlign w:val="center"/>
          </w:tcPr>
          <w:p w14:paraId="1156CC90">
            <w:pPr>
              <w:jc w:val="left"/>
              <w:rPr>
                <w:b/>
                <w:lang w:val="en-GB"/>
              </w:rPr>
            </w:pPr>
            <w:r>
              <w:rPr>
                <w:b/>
                <w:lang w:val="en-GB"/>
              </w:rPr>
              <w:t>Week 6</w:t>
            </w:r>
          </w:p>
        </w:tc>
        <w:tc>
          <w:tcPr>
            <w:tcW w:w="6077" w:type="dxa"/>
            <w:tcBorders>
              <w:bottom w:val="single" w:color="auto" w:sz="4" w:space="0"/>
            </w:tcBorders>
            <w:shd w:val="clear" w:color="auto" w:fill="auto"/>
          </w:tcPr>
          <w:p w14:paraId="267AA325">
            <w:pPr>
              <w:snapToGrid w:val="0"/>
              <w:spacing w:before="120" w:after="120"/>
              <w:rPr>
                <w:lang w:val="en-GB"/>
              </w:rPr>
            </w:pPr>
            <w:r>
              <w:rPr>
                <w:lang w:val="en-GB"/>
              </w:rPr>
              <w:t xml:space="preserve">Memory </w:t>
            </w:r>
          </w:p>
        </w:tc>
        <w:tc>
          <w:tcPr>
            <w:tcW w:w="2286" w:type="dxa"/>
            <w:tcBorders>
              <w:bottom w:val="single" w:color="auto" w:sz="4" w:space="0"/>
            </w:tcBorders>
          </w:tcPr>
          <w:p w14:paraId="586F4E87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17</w:t>
            </w:r>
          </w:p>
        </w:tc>
      </w:tr>
      <w:tr w14:paraId="50593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auto"/>
            <w:vAlign w:val="center"/>
          </w:tcPr>
          <w:p w14:paraId="02DB9ED5">
            <w:pPr>
              <w:jc w:val="left"/>
              <w:rPr>
                <w:b/>
                <w:lang w:val="en-GB"/>
              </w:rPr>
            </w:pPr>
            <w:r>
              <w:rPr>
                <w:b/>
                <w:lang w:val="en-GB"/>
              </w:rPr>
              <w:t>Week 7</w:t>
            </w:r>
          </w:p>
        </w:tc>
        <w:tc>
          <w:tcPr>
            <w:tcW w:w="8363" w:type="dxa"/>
            <w:gridSpan w:val="2"/>
            <w:tcBorders>
              <w:bottom w:val="single" w:color="auto" w:sz="4" w:space="0"/>
            </w:tcBorders>
            <w:shd w:val="clear" w:color="auto" w:fill="FFFF00"/>
          </w:tcPr>
          <w:p w14:paraId="36738B36">
            <w:pPr>
              <w:rPr>
                <w:color w:val="000000"/>
              </w:rPr>
            </w:pPr>
            <w:r>
              <w:rPr>
                <w:highlight w:val="yellow"/>
                <w:lang w:val="en-GB"/>
              </w:rPr>
              <w:t>Midterm</w:t>
            </w:r>
            <w:r>
              <w:rPr>
                <w:lang w:val="en-GB"/>
              </w:rPr>
              <w:t xml:space="preserve"> I</w:t>
            </w:r>
          </w:p>
        </w:tc>
      </w:tr>
      <w:tr w14:paraId="07975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auto"/>
            <w:vAlign w:val="center"/>
          </w:tcPr>
          <w:p w14:paraId="05BF8709">
            <w:pPr>
              <w:jc w:val="left"/>
              <w:rPr>
                <w:lang w:val="en-GB"/>
              </w:rPr>
            </w:pPr>
            <w:r>
              <w:rPr>
                <w:b/>
                <w:lang w:val="en-GB"/>
              </w:rPr>
              <w:t>Week 8</w:t>
            </w:r>
          </w:p>
        </w:tc>
        <w:tc>
          <w:tcPr>
            <w:tcW w:w="6077" w:type="dxa"/>
            <w:shd w:val="clear" w:color="auto" w:fill="auto"/>
          </w:tcPr>
          <w:p w14:paraId="4BF5FABF">
            <w:pPr>
              <w:snapToGrid w:val="0"/>
              <w:spacing w:before="120" w:after="120"/>
              <w:rPr>
                <w:lang w:val="en-GB"/>
              </w:rPr>
            </w:pPr>
            <w:r>
              <w:rPr>
                <w:lang w:val="en-GB"/>
              </w:rPr>
              <w:t>Social Psychology Topics</w:t>
            </w:r>
          </w:p>
        </w:tc>
        <w:tc>
          <w:tcPr>
            <w:tcW w:w="2286" w:type="dxa"/>
          </w:tcPr>
          <w:p w14:paraId="49E91A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23-26-27</w:t>
            </w:r>
          </w:p>
        </w:tc>
      </w:tr>
      <w:tr w14:paraId="1C1A7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auto"/>
            <w:vAlign w:val="center"/>
          </w:tcPr>
          <w:p w14:paraId="70A17B4B">
            <w:pPr>
              <w:jc w:val="left"/>
              <w:rPr>
                <w:b/>
                <w:lang w:val="en-GB"/>
              </w:rPr>
            </w:pPr>
            <w:r>
              <w:rPr>
                <w:b/>
                <w:lang w:val="en-GB"/>
              </w:rPr>
              <w:t>Week 9</w:t>
            </w:r>
          </w:p>
        </w:tc>
        <w:tc>
          <w:tcPr>
            <w:tcW w:w="6077" w:type="dxa"/>
            <w:shd w:val="clear" w:color="auto" w:fill="auto"/>
          </w:tcPr>
          <w:p w14:paraId="3E9FEFE3">
            <w:pPr>
              <w:snapToGrid w:val="0"/>
              <w:spacing w:before="120" w:after="120"/>
              <w:rPr>
                <w:lang w:val="en-GB"/>
              </w:rPr>
            </w:pPr>
            <w:r>
              <w:rPr>
                <w:lang w:val="en-GB"/>
              </w:rPr>
              <w:t>Developmental Psychology Topics</w:t>
            </w:r>
          </w:p>
        </w:tc>
        <w:tc>
          <w:tcPr>
            <w:tcW w:w="2286" w:type="dxa"/>
          </w:tcPr>
          <w:p w14:paraId="14DB7BD2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32-34</w:t>
            </w:r>
          </w:p>
        </w:tc>
      </w:tr>
      <w:tr w14:paraId="087F7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auto"/>
            <w:vAlign w:val="center"/>
          </w:tcPr>
          <w:p w14:paraId="4E5B876E">
            <w:pPr>
              <w:jc w:val="left"/>
              <w:rPr>
                <w:b/>
                <w:lang w:val="en-GB"/>
              </w:rPr>
            </w:pPr>
            <w:r>
              <w:rPr>
                <w:b/>
                <w:lang w:val="en-GB"/>
              </w:rPr>
              <w:t>Week 10</w:t>
            </w:r>
          </w:p>
        </w:tc>
        <w:tc>
          <w:tcPr>
            <w:tcW w:w="6077" w:type="dxa"/>
            <w:shd w:val="clear" w:color="auto" w:fill="auto"/>
          </w:tcPr>
          <w:p w14:paraId="61A288C7">
            <w:pPr>
              <w:snapToGrid w:val="0"/>
              <w:spacing w:before="120" w:after="120"/>
              <w:rPr>
                <w:lang w:val="en-GB"/>
              </w:rPr>
            </w:pPr>
            <w:r>
              <w:rPr>
                <w:lang w:val="en-GB"/>
              </w:rPr>
              <w:t>Intelligence</w:t>
            </w:r>
          </w:p>
        </w:tc>
        <w:tc>
          <w:tcPr>
            <w:tcW w:w="2286" w:type="dxa"/>
          </w:tcPr>
          <w:p w14:paraId="761528FA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41</w:t>
            </w:r>
          </w:p>
        </w:tc>
      </w:tr>
      <w:tr w14:paraId="36E8C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auto"/>
            <w:vAlign w:val="center"/>
          </w:tcPr>
          <w:p w14:paraId="44789978">
            <w:pPr>
              <w:jc w:val="left"/>
              <w:rPr>
                <w:b/>
                <w:lang w:val="en-GB"/>
              </w:rPr>
            </w:pPr>
            <w:r>
              <w:rPr>
                <w:b/>
                <w:lang w:val="en-GB"/>
              </w:rPr>
              <w:t>Week 11</w:t>
            </w:r>
          </w:p>
        </w:tc>
        <w:tc>
          <w:tcPr>
            <w:tcW w:w="6077" w:type="dxa"/>
            <w:shd w:val="clear" w:color="auto" w:fill="auto"/>
          </w:tcPr>
          <w:p w14:paraId="098D6A21">
            <w:pPr>
              <w:snapToGrid w:val="0"/>
              <w:spacing w:before="120" w:after="120"/>
              <w:rPr>
                <w:lang w:val="en-GB"/>
              </w:rPr>
            </w:pPr>
            <w:r>
              <w:rPr>
                <w:lang w:val="en-GB"/>
              </w:rPr>
              <w:t>Personality</w:t>
            </w:r>
          </w:p>
        </w:tc>
        <w:tc>
          <w:tcPr>
            <w:tcW w:w="2286" w:type="dxa"/>
          </w:tcPr>
          <w:p w14:paraId="6E526AC2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42</w:t>
            </w:r>
          </w:p>
        </w:tc>
      </w:tr>
      <w:tr w14:paraId="5C4A0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auto"/>
            <w:vAlign w:val="center"/>
          </w:tcPr>
          <w:p w14:paraId="4B4FA073">
            <w:pPr>
              <w:jc w:val="left"/>
              <w:rPr>
                <w:b/>
                <w:lang w:val="en-GB"/>
              </w:rPr>
            </w:pPr>
            <w:r>
              <w:rPr>
                <w:b/>
                <w:lang w:val="en-GB"/>
              </w:rPr>
              <w:t>Week 12</w:t>
            </w:r>
          </w:p>
        </w:tc>
        <w:tc>
          <w:tcPr>
            <w:tcW w:w="8363" w:type="dxa"/>
            <w:gridSpan w:val="2"/>
            <w:shd w:val="clear" w:color="auto" w:fill="FFFF00"/>
          </w:tcPr>
          <w:p w14:paraId="205151F5">
            <w:pPr>
              <w:rPr>
                <w:color w:val="000000"/>
                <w:lang w:val="en-GB"/>
              </w:rPr>
            </w:pPr>
            <w:r>
              <w:rPr>
                <w:lang w:val="en-GB"/>
              </w:rPr>
              <w:t>Midterm II</w:t>
            </w:r>
          </w:p>
        </w:tc>
      </w:tr>
      <w:tr w14:paraId="67295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auto"/>
            <w:vAlign w:val="center"/>
          </w:tcPr>
          <w:p w14:paraId="6DD380D5">
            <w:pPr>
              <w:jc w:val="left"/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Week </w:t>
            </w:r>
            <w:bookmarkStart w:id="2" w:name="_GoBack"/>
            <w:bookmarkEnd w:id="2"/>
            <w:r>
              <w:rPr>
                <w:b/>
                <w:lang w:val="en-GB"/>
              </w:rPr>
              <w:t>13</w:t>
            </w:r>
          </w:p>
        </w:tc>
        <w:tc>
          <w:tcPr>
            <w:tcW w:w="6077" w:type="dxa"/>
            <w:tcBorders>
              <w:bottom w:val="single" w:color="auto" w:sz="4" w:space="0"/>
            </w:tcBorders>
            <w:shd w:val="clear" w:color="auto" w:fill="auto"/>
          </w:tcPr>
          <w:p w14:paraId="4B2699C3">
            <w:pPr>
              <w:snapToGrid w:val="0"/>
              <w:spacing w:before="120" w:after="120"/>
              <w:rPr>
                <w:lang w:val="en-GB"/>
              </w:rPr>
            </w:pPr>
            <w:r>
              <w:rPr>
                <w:lang w:val="en-GB"/>
              </w:rPr>
              <w:t>Psychopathology</w:t>
            </w:r>
          </w:p>
        </w:tc>
        <w:tc>
          <w:tcPr>
            <w:tcW w:w="2286" w:type="dxa"/>
          </w:tcPr>
          <w:p w14:paraId="32796CC1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43-44</w:t>
            </w:r>
          </w:p>
        </w:tc>
      </w:tr>
      <w:tr w14:paraId="26E33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shd w:val="clear" w:color="auto" w:fill="auto"/>
            <w:vAlign w:val="center"/>
          </w:tcPr>
          <w:p w14:paraId="4ED1573C">
            <w:pPr>
              <w:jc w:val="left"/>
              <w:rPr>
                <w:b/>
                <w:lang w:val="en-GB"/>
              </w:rPr>
            </w:pPr>
            <w:r>
              <w:rPr>
                <w:b/>
                <w:lang w:val="en-GB"/>
              </w:rPr>
              <w:t>Week 14</w:t>
            </w:r>
          </w:p>
        </w:tc>
        <w:tc>
          <w:tcPr>
            <w:tcW w:w="6077" w:type="dxa"/>
            <w:shd w:val="clear" w:color="auto" w:fill="auto"/>
          </w:tcPr>
          <w:p w14:paraId="6EB30FB6">
            <w:pPr>
              <w:snapToGrid w:val="0"/>
              <w:spacing w:before="120" w:after="120"/>
              <w:rPr>
                <w:lang w:val="en-GB"/>
              </w:rPr>
            </w:pPr>
            <w:r>
              <w:rPr>
                <w:lang w:val="en-GB"/>
              </w:rPr>
              <w:t>Treatments and Therapies</w:t>
            </w:r>
          </w:p>
        </w:tc>
        <w:tc>
          <w:tcPr>
            <w:tcW w:w="2286" w:type="dxa"/>
          </w:tcPr>
          <w:p w14:paraId="2FAA34DE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45</w:t>
            </w:r>
          </w:p>
        </w:tc>
      </w:tr>
    </w:tbl>
    <w:p w14:paraId="6025C049"/>
    <w:sectPr>
      <w:footerReference r:id="rId3" w:type="default"/>
      <w:footnotePr>
        <w:pos w:val="beneathText"/>
      </w:footnotePr>
      <w:pgSz w:w="11905" w:h="16837"/>
      <w:pgMar w:top="1134" w:right="990" w:bottom="1135" w:left="85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A2"/>
    <w:family w:val="swiss"/>
    <w:pitch w:val="default"/>
    <w:sig w:usb0="E0002EFF" w:usb1="C000785B" w:usb2="00000009" w:usb3="00000000" w:csb0="400001FF" w:csb1="FFFF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A2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A2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A2"/>
    <w:family w:val="modern"/>
    <w:pitch w:val="default"/>
    <w:sig w:usb0="E0002EFF" w:usb1="C0007843" w:usb2="00000009" w:usb3="00000000" w:csb0="400001FF" w:csb1="FFFF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0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065" w:type="dxa"/>
      <w:tblInd w:w="108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single" w:color="auto" w:sz="4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789"/>
      <w:gridCol w:w="1276"/>
    </w:tblGrid>
    <w:tr w14:paraId="07028143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8789" w:type="dxa"/>
        </w:tcPr>
        <w:p w14:paraId="31F6DB96">
          <w:pPr>
            <w:pStyle w:val="12"/>
            <w:spacing w:before="120"/>
            <w:rPr>
              <w:rFonts w:ascii="Arial" w:hAnsi="Arial" w:cs="Arial"/>
              <w:i/>
              <w:sz w:val="16"/>
              <w:szCs w:val="16"/>
            </w:rPr>
          </w:pPr>
          <w:r>
            <w:rPr>
              <w:rFonts w:ascii="Arial" w:hAnsi="Arial" w:cs="Arial"/>
              <w:i/>
              <w:sz w:val="16"/>
              <w:szCs w:val="16"/>
            </w:rPr>
            <w:t>.</w:t>
          </w:r>
        </w:p>
      </w:tc>
      <w:tc>
        <w:tcPr>
          <w:tcW w:w="1276" w:type="dxa"/>
        </w:tcPr>
        <w:p w14:paraId="76F33AEC">
          <w:pPr>
            <w:pStyle w:val="12"/>
            <w:spacing w:before="12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Page </w:t>
          </w:r>
          <w:r>
            <w:rPr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sz w:val="16"/>
              <w:szCs w:val="16"/>
            </w:rPr>
            <w:instrText xml:space="preserve"> PAGE </w:instrText>
          </w:r>
          <w:r>
            <w:rPr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sz w:val="16"/>
              <w:szCs w:val="16"/>
            </w:rPr>
            <w:t>4</w:t>
          </w:r>
          <w:r>
            <w:rPr>
              <w:rFonts w:ascii="Arial" w:hAnsi="Arial" w:cs="Arial"/>
              <w:sz w:val="16"/>
              <w:szCs w:val="16"/>
            </w:rPr>
            <w:fldChar w:fldCharType="end"/>
          </w:r>
          <w:r>
            <w:rPr>
              <w:rFonts w:ascii="Arial" w:hAnsi="Arial" w:cs="Arial"/>
              <w:sz w:val="16"/>
              <w:szCs w:val="16"/>
            </w:rPr>
            <w:t xml:space="preserve"> of </w:t>
          </w:r>
          <w:r>
            <w:rPr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sz w:val="16"/>
              <w:szCs w:val="16"/>
            </w:rPr>
            <w:instrText xml:space="preserve"> NUMPAGES </w:instrText>
          </w:r>
          <w:r>
            <w:rPr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sz w:val="16"/>
              <w:szCs w:val="16"/>
            </w:rPr>
            <w:t>4</w:t>
          </w:r>
          <w:r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214537AA">
    <w:pPr>
      <w:pStyle w:val="1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63C49A"/>
    <w:multiLevelType w:val="multilevel"/>
    <w:tmpl w:val="DF63C4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000000B"/>
    <w:multiLevelType w:val="singleLevel"/>
    <w:tmpl w:val="0000000B"/>
    <w:lvl w:ilvl="0" w:tentative="0">
      <w:start w:val="1"/>
      <w:numFmt w:val="bullet"/>
      <w:pStyle w:val="10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isplayBackgroundShape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0"/>
  <w:drawingGridVerticalSpacing w:val="0"/>
  <w:doNotUseMarginsForDrawingGridOrigin w:val="1"/>
  <w:drawingGridHorizontalOrigin w:val="0"/>
  <w:drawingGridVerticalOrigin w:val="0"/>
  <w:noPunctuationKerning w:val="1"/>
  <w:characterSpacingControl w:val="doNotCompress"/>
  <w:footnotePr>
    <w:pos w:val="beneathText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1D6B"/>
    <w:rsid w:val="00000255"/>
    <w:rsid w:val="00015E04"/>
    <w:rsid w:val="0003329B"/>
    <w:rsid w:val="000417AF"/>
    <w:rsid w:val="00067003"/>
    <w:rsid w:val="00067356"/>
    <w:rsid w:val="000679E7"/>
    <w:rsid w:val="00072FCC"/>
    <w:rsid w:val="000732BE"/>
    <w:rsid w:val="00080094"/>
    <w:rsid w:val="00080803"/>
    <w:rsid w:val="00082437"/>
    <w:rsid w:val="0008358F"/>
    <w:rsid w:val="00083740"/>
    <w:rsid w:val="00084191"/>
    <w:rsid w:val="00085DBB"/>
    <w:rsid w:val="000962C2"/>
    <w:rsid w:val="00097A24"/>
    <w:rsid w:val="000A7C1B"/>
    <w:rsid w:val="000B3EB3"/>
    <w:rsid w:val="000B48EA"/>
    <w:rsid w:val="000B7702"/>
    <w:rsid w:val="000D09F7"/>
    <w:rsid w:val="000D7CB7"/>
    <w:rsid w:val="000E0D14"/>
    <w:rsid w:val="000E2F23"/>
    <w:rsid w:val="000E4C9E"/>
    <w:rsid w:val="000F21F9"/>
    <w:rsid w:val="000F22CD"/>
    <w:rsid w:val="000F64AF"/>
    <w:rsid w:val="001052A8"/>
    <w:rsid w:val="0011051F"/>
    <w:rsid w:val="00110CA2"/>
    <w:rsid w:val="00133ED2"/>
    <w:rsid w:val="0013407C"/>
    <w:rsid w:val="00136A98"/>
    <w:rsid w:val="00155F2E"/>
    <w:rsid w:val="0016443C"/>
    <w:rsid w:val="001670CC"/>
    <w:rsid w:val="00167CE5"/>
    <w:rsid w:val="00170819"/>
    <w:rsid w:val="0017199E"/>
    <w:rsid w:val="001726ED"/>
    <w:rsid w:val="00172C71"/>
    <w:rsid w:val="00174F3A"/>
    <w:rsid w:val="00175680"/>
    <w:rsid w:val="00175C07"/>
    <w:rsid w:val="0017638C"/>
    <w:rsid w:val="00184218"/>
    <w:rsid w:val="00193BA4"/>
    <w:rsid w:val="00196162"/>
    <w:rsid w:val="001966E1"/>
    <w:rsid w:val="001A192E"/>
    <w:rsid w:val="001A6404"/>
    <w:rsid w:val="001B5A0B"/>
    <w:rsid w:val="001B7052"/>
    <w:rsid w:val="001D0B0A"/>
    <w:rsid w:val="001D1829"/>
    <w:rsid w:val="001D3B9A"/>
    <w:rsid w:val="001D3BE7"/>
    <w:rsid w:val="001E049A"/>
    <w:rsid w:val="001E3256"/>
    <w:rsid w:val="001F3731"/>
    <w:rsid w:val="002006C5"/>
    <w:rsid w:val="00202C32"/>
    <w:rsid w:val="00202CBF"/>
    <w:rsid w:val="00211245"/>
    <w:rsid w:val="00216526"/>
    <w:rsid w:val="00216EB1"/>
    <w:rsid w:val="00217972"/>
    <w:rsid w:val="002270CF"/>
    <w:rsid w:val="00227F44"/>
    <w:rsid w:val="00231EF0"/>
    <w:rsid w:val="00231F11"/>
    <w:rsid w:val="00234352"/>
    <w:rsid w:val="002370B4"/>
    <w:rsid w:val="002406BD"/>
    <w:rsid w:val="0026620C"/>
    <w:rsid w:val="00270B76"/>
    <w:rsid w:val="00272402"/>
    <w:rsid w:val="00280E80"/>
    <w:rsid w:val="00293ECB"/>
    <w:rsid w:val="002A1CFC"/>
    <w:rsid w:val="002A310B"/>
    <w:rsid w:val="002B3101"/>
    <w:rsid w:val="002B7FF7"/>
    <w:rsid w:val="002C41E7"/>
    <w:rsid w:val="002D3D53"/>
    <w:rsid w:val="002E5CE2"/>
    <w:rsid w:val="002F6C2C"/>
    <w:rsid w:val="002F7D07"/>
    <w:rsid w:val="0031548D"/>
    <w:rsid w:val="00335693"/>
    <w:rsid w:val="00335FC9"/>
    <w:rsid w:val="00336140"/>
    <w:rsid w:val="00337AEB"/>
    <w:rsid w:val="0034799D"/>
    <w:rsid w:val="00351892"/>
    <w:rsid w:val="0035311F"/>
    <w:rsid w:val="003559E7"/>
    <w:rsid w:val="00365D93"/>
    <w:rsid w:val="00367368"/>
    <w:rsid w:val="00385006"/>
    <w:rsid w:val="003C01AE"/>
    <w:rsid w:val="003E27DA"/>
    <w:rsid w:val="003E2B30"/>
    <w:rsid w:val="003E6CEB"/>
    <w:rsid w:val="003F15DB"/>
    <w:rsid w:val="003F275B"/>
    <w:rsid w:val="003F5BAF"/>
    <w:rsid w:val="003F67D9"/>
    <w:rsid w:val="00401D22"/>
    <w:rsid w:val="004028D1"/>
    <w:rsid w:val="00430832"/>
    <w:rsid w:val="00434FD9"/>
    <w:rsid w:val="004371D4"/>
    <w:rsid w:val="00440551"/>
    <w:rsid w:val="00443393"/>
    <w:rsid w:val="0045089F"/>
    <w:rsid w:val="004567E8"/>
    <w:rsid w:val="00460B8F"/>
    <w:rsid w:val="004653C8"/>
    <w:rsid w:val="0047104D"/>
    <w:rsid w:val="00474AFA"/>
    <w:rsid w:val="00477FBA"/>
    <w:rsid w:val="00481DC7"/>
    <w:rsid w:val="0048601C"/>
    <w:rsid w:val="00490F7A"/>
    <w:rsid w:val="00492051"/>
    <w:rsid w:val="004A4A21"/>
    <w:rsid w:val="004B0CC0"/>
    <w:rsid w:val="004C2E94"/>
    <w:rsid w:val="004D0AEB"/>
    <w:rsid w:val="004D138F"/>
    <w:rsid w:val="004D3734"/>
    <w:rsid w:val="004D5128"/>
    <w:rsid w:val="004D6799"/>
    <w:rsid w:val="004E25C8"/>
    <w:rsid w:val="005011CC"/>
    <w:rsid w:val="005101BB"/>
    <w:rsid w:val="00511853"/>
    <w:rsid w:val="005134AB"/>
    <w:rsid w:val="00513CA2"/>
    <w:rsid w:val="005227B9"/>
    <w:rsid w:val="00526C94"/>
    <w:rsid w:val="00531ADB"/>
    <w:rsid w:val="00551D6B"/>
    <w:rsid w:val="00552482"/>
    <w:rsid w:val="00561BA1"/>
    <w:rsid w:val="00564AC6"/>
    <w:rsid w:val="00566488"/>
    <w:rsid w:val="00575C75"/>
    <w:rsid w:val="005844BD"/>
    <w:rsid w:val="005864DD"/>
    <w:rsid w:val="005922CA"/>
    <w:rsid w:val="00594560"/>
    <w:rsid w:val="0059541D"/>
    <w:rsid w:val="00596591"/>
    <w:rsid w:val="005A1A16"/>
    <w:rsid w:val="005A554E"/>
    <w:rsid w:val="005A57AA"/>
    <w:rsid w:val="005A66B6"/>
    <w:rsid w:val="005C10C2"/>
    <w:rsid w:val="005C7A3D"/>
    <w:rsid w:val="005D4C8D"/>
    <w:rsid w:val="005D5122"/>
    <w:rsid w:val="005E1394"/>
    <w:rsid w:val="005E6986"/>
    <w:rsid w:val="005F0CF7"/>
    <w:rsid w:val="005F70D8"/>
    <w:rsid w:val="005F73EC"/>
    <w:rsid w:val="0060149D"/>
    <w:rsid w:val="00601595"/>
    <w:rsid w:val="00607708"/>
    <w:rsid w:val="006117FD"/>
    <w:rsid w:val="00622BA5"/>
    <w:rsid w:val="00622F7A"/>
    <w:rsid w:val="00633C8F"/>
    <w:rsid w:val="006414EC"/>
    <w:rsid w:val="00647C28"/>
    <w:rsid w:val="006541A2"/>
    <w:rsid w:val="0066066D"/>
    <w:rsid w:val="0066343C"/>
    <w:rsid w:val="00665C8A"/>
    <w:rsid w:val="0067298A"/>
    <w:rsid w:val="0067623A"/>
    <w:rsid w:val="00681326"/>
    <w:rsid w:val="00681889"/>
    <w:rsid w:val="0068556D"/>
    <w:rsid w:val="00690536"/>
    <w:rsid w:val="006931E0"/>
    <w:rsid w:val="00697228"/>
    <w:rsid w:val="006B4E59"/>
    <w:rsid w:val="006C0C02"/>
    <w:rsid w:val="006C1158"/>
    <w:rsid w:val="006C2102"/>
    <w:rsid w:val="006C3003"/>
    <w:rsid w:val="006D25F5"/>
    <w:rsid w:val="006D6559"/>
    <w:rsid w:val="006D77EF"/>
    <w:rsid w:val="006E0B65"/>
    <w:rsid w:val="006E1876"/>
    <w:rsid w:val="006E1FCF"/>
    <w:rsid w:val="006E2A0B"/>
    <w:rsid w:val="006F3765"/>
    <w:rsid w:val="007140CC"/>
    <w:rsid w:val="007263D3"/>
    <w:rsid w:val="00727991"/>
    <w:rsid w:val="007325B0"/>
    <w:rsid w:val="00733A3D"/>
    <w:rsid w:val="00740559"/>
    <w:rsid w:val="00740CC5"/>
    <w:rsid w:val="00742E50"/>
    <w:rsid w:val="00745CA4"/>
    <w:rsid w:val="00751707"/>
    <w:rsid w:val="00765B12"/>
    <w:rsid w:val="007731F7"/>
    <w:rsid w:val="007735BD"/>
    <w:rsid w:val="007817ED"/>
    <w:rsid w:val="00781B64"/>
    <w:rsid w:val="00782FF3"/>
    <w:rsid w:val="0078340A"/>
    <w:rsid w:val="0078362E"/>
    <w:rsid w:val="00791BD3"/>
    <w:rsid w:val="007A03B1"/>
    <w:rsid w:val="007C16B5"/>
    <w:rsid w:val="007C2141"/>
    <w:rsid w:val="007C4CD9"/>
    <w:rsid w:val="007C57AE"/>
    <w:rsid w:val="007C5FBB"/>
    <w:rsid w:val="007D6F72"/>
    <w:rsid w:val="007F2023"/>
    <w:rsid w:val="007F2E77"/>
    <w:rsid w:val="008019F5"/>
    <w:rsid w:val="00802CF2"/>
    <w:rsid w:val="00806703"/>
    <w:rsid w:val="0081183B"/>
    <w:rsid w:val="00812F82"/>
    <w:rsid w:val="008153A6"/>
    <w:rsid w:val="00823A60"/>
    <w:rsid w:val="0084155D"/>
    <w:rsid w:val="00847A6A"/>
    <w:rsid w:val="008554D2"/>
    <w:rsid w:val="00860B79"/>
    <w:rsid w:val="00861986"/>
    <w:rsid w:val="008641D9"/>
    <w:rsid w:val="00870B25"/>
    <w:rsid w:val="008815D4"/>
    <w:rsid w:val="008831F3"/>
    <w:rsid w:val="0088341E"/>
    <w:rsid w:val="00885093"/>
    <w:rsid w:val="008873A9"/>
    <w:rsid w:val="008A4058"/>
    <w:rsid w:val="008C07D0"/>
    <w:rsid w:val="008C5854"/>
    <w:rsid w:val="008D6572"/>
    <w:rsid w:val="008E0503"/>
    <w:rsid w:val="008F15EF"/>
    <w:rsid w:val="008F6D48"/>
    <w:rsid w:val="00900595"/>
    <w:rsid w:val="00911D5A"/>
    <w:rsid w:val="00925AE3"/>
    <w:rsid w:val="009328AA"/>
    <w:rsid w:val="009328AF"/>
    <w:rsid w:val="00937482"/>
    <w:rsid w:val="00940295"/>
    <w:rsid w:val="00943CA2"/>
    <w:rsid w:val="00953C26"/>
    <w:rsid w:val="009578F8"/>
    <w:rsid w:val="00962C5F"/>
    <w:rsid w:val="00964DDD"/>
    <w:rsid w:val="00974DAD"/>
    <w:rsid w:val="00982039"/>
    <w:rsid w:val="009A430E"/>
    <w:rsid w:val="009B4323"/>
    <w:rsid w:val="009B6378"/>
    <w:rsid w:val="009B7A8D"/>
    <w:rsid w:val="009C042F"/>
    <w:rsid w:val="009C1DB3"/>
    <w:rsid w:val="009C6FF7"/>
    <w:rsid w:val="009D47DB"/>
    <w:rsid w:val="009E3375"/>
    <w:rsid w:val="009F398B"/>
    <w:rsid w:val="009F5626"/>
    <w:rsid w:val="00A00D0E"/>
    <w:rsid w:val="00A02A7F"/>
    <w:rsid w:val="00A17847"/>
    <w:rsid w:val="00A25383"/>
    <w:rsid w:val="00A25B6B"/>
    <w:rsid w:val="00A2686E"/>
    <w:rsid w:val="00A37787"/>
    <w:rsid w:val="00A37A48"/>
    <w:rsid w:val="00A41CF0"/>
    <w:rsid w:val="00A4248A"/>
    <w:rsid w:val="00A44649"/>
    <w:rsid w:val="00A463D3"/>
    <w:rsid w:val="00A46C22"/>
    <w:rsid w:val="00A5326C"/>
    <w:rsid w:val="00A54A66"/>
    <w:rsid w:val="00A637F1"/>
    <w:rsid w:val="00A72A8D"/>
    <w:rsid w:val="00A93D66"/>
    <w:rsid w:val="00AA7E9F"/>
    <w:rsid w:val="00AB4AB6"/>
    <w:rsid w:val="00AC6FED"/>
    <w:rsid w:val="00AD623A"/>
    <w:rsid w:val="00AE1770"/>
    <w:rsid w:val="00AF3123"/>
    <w:rsid w:val="00AF4895"/>
    <w:rsid w:val="00AF7274"/>
    <w:rsid w:val="00B07329"/>
    <w:rsid w:val="00B17A73"/>
    <w:rsid w:val="00B27703"/>
    <w:rsid w:val="00B34EF7"/>
    <w:rsid w:val="00B40EE5"/>
    <w:rsid w:val="00B450EC"/>
    <w:rsid w:val="00B565D0"/>
    <w:rsid w:val="00B61A6F"/>
    <w:rsid w:val="00B75D75"/>
    <w:rsid w:val="00B76A66"/>
    <w:rsid w:val="00B811B1"/>
    <w:rsid w:val="00B81D05"/>
    <w:rsid w:val="00B85D84"/>
    <w:rsid w:val="00B919A9"/>
    <w:rsid w:val="00B91A80"/>
    <w:rsid w:val="00B92D59"/>
    <w:rsid w:val="00BA043C"/>
    <w:rsid w:val="00BA07B6"/>
    <w:rsid w:val="00BA08DA"/>
    <w:rsid w:val="00BA0F6F"/>
    <w:rsid w:val="00BA45AF"/>
    <w:rsid w:val="00BA57DE"/>
    <w:rsid w:val="00BB082F"/>
    <w:rsid w:val="00BB6B96"/>
    <w:rsid w:val="00BC7D65"/>
    <w:rsid w:val="00BD22BB"/>
    <w:rsid w:val="00BE1183"/>
    <w:rsid w:val="00BE6F78"/>
    <w:rsid w:val="00C0058E"/>
    <w:rsid w:val="00C037C4"/>
    <w:rsid w:val="00C0653F"/>
    <w:rsid w:val="00C06800"/>
    <w:rsid w:val="00C118B2"/>
    <w:rsid w:val="00C25954"/>
    <w:rsid w:val="00C25F01"/>
    <w:rsid w:val="00C324D3"/>
    <w:rsid w:val="00C333AC"/>
    <w:rsid w:val="00C35290"/>
    <w:rsid w:val="00C41128"/>
    <w:rsid w:val="00C41C12"/>
    <w:rsid w:val="00C429FB"/>
    <w:rsid w:val="00C42F32"/>
    <w:rsid w:val="00C45088"/>
    <w:rsid w:val="00C45D5B"/>
    <w:rsid w:val="00C61A49"/>
    <w:rsid w:val="00C772B4"/>
    <w:rsid w:val="00C830A4"/>
    <w:rsid w:val="00C85C6E"/>
    <w:rsid w:val="00C93D45"/>
    <w:rsid w:val="00C95684"/>
    <w:rsid w:val="00C96640"/>
    <w:rsid w:val="00CA0385"/>
    <w:rsid w:val="00CA0B94"/>
    <w:rsid w:val="00CA46DF"/>
    <w:rsid w:val="00CA5AE3"/>
    <w:rsid w:val="00CA76ED"/>
    <w:rsid w:val="00CB2A86"/>
    <w:rsid w:val="00CB5261"/>
    <w:rsid w:val="00CC0D4F"/>
    <w:rsid w:val="00CC3A4A"/>
    <w:rsid w:val="00CC3D90"/>
    <w:rsid w:val="00CC66B0"/>
    <w:rsid w:val="00CD0989"/>
    <w:rsid w:val="00CD2503"/>
    <w:rsid w:val="00CE1DE7"/>
    <w:rsid w:val="00CE4477"/>
    <w:rsid w:val="00CF55AC"/>
    <w:rsid w:val="00CF7F17"/>
    <w:rsid w:val="00D01D70"/>
    <w:rsid w:val="00D10BD8"/>
    <w:rsid w:val="00D148CB"/>
    <w:rsid w:val="00D274D5"/>
    <w:rsid w:val="00D57787"/>
    <w:rsid w:val="00D57B74"/>
    <w:rsid w:val="00D60401"/>
    <w:rsid w:val="00D6305E"/>
    <w:rsid w:val="00D65246"/>
    <w:rsid w:val="00D72BA0"/>
    <w:rsid w:val="00D73C8F"/>
    <w:rsid w:val="00D759A0"/>
    <w:rsid w:val="00D81429"/>
    <w:rsid w:val="00D81F89"/>
    <w:rsid w:val="00D84CEB"/>
    <w:rsid w:val="00D877EE"/>
    <w:rsid w:val="00D91573"/>
    <w:rsid w:val="00D942B6"/>
    <w:rsid w:val="00DA72C1"/>
    <w:rsid w:val="00DB1A7D"/>
    <w:rsid w:val="00DB440D"/>
    <w:rsid w:val="00DC3BEC"/>
    <w:rsid w:val="00DC541E"/>
    <w:rsid w:val="00DC754E"/>
    <w:rsid w:val="00DD4F59"/>
    <w:rsid w:val="00DE0757"/>
    <w:rsid w:val="00DE0FE0"/>
    <w:rsid w:val="00DE141E"/>
    <w:rsid w:val="00DE3124"/>
    <w:rsid w:val="00DE5084"/>
    <w:rsid w:val="00DE626A"/>
    <w:rsid w:val="00DF2A41"/>
    <w:rsid w:val="00DF3A67"/>
    <w:rsid w:val="00DF59B9"/>
    <w:rsid w:val="00DF607D"/>
    <w:rsid w:val="00DF6811"/>
    <w:rsid w:val="00E04688"/>
    <w:rsid w:val="00E04CE5"/>
    <w:rsid w:val="00E06D26"/>
    <w:rsid w:val="00E117D9"/>
    <w:rsid w:val="00E13224"/>
    <w:rsid w:val="00E17691"/>
    <w:rsid w:val="00E21234"/>
    <w:rsid w:val="00E430E7"/>
    <w:rsid w:val="00E43DC7"/>
    <w:rsid w:val="00E464C5"/>
    <w:rsid w:val="00E46F7B"/>
    <w:rsid w:val="00E533A0"/>
    <w:rsid w:val="00E56FC9"/>
    <w:rsid w:val="00E5733E"/>
    <w:rsid w:val="00E65B7C"/>
    <w:rsid w:val="00E71C14"/>
    <w:rsid w:val="00E71E34"/>
    <w:rsid w:val="00E82292"/>
    <w:rsid w:val="00EA0A8B"/>
    <w:rsid w:val="00EA3842"/>
    <w:rsid w:val="00EA56E0"/>
    <w:rsid w:val="00EA6A70"/>
    <w:rsid w:val="00EB1F55"/>
    <w:rsid w:val="00EB219B"/>
    <w:rsid w:val="00EB273B"/>
    <w:rsid w:val="00EC153C"/>
    <w:rsid w:val="00EC3F1C"/>
    <w:rsid w:val="00EC6EA9"/>
    <w:rsid w:val="00ED4143"/>
    <w:rsid w:val="00ED4175"/>
    <w:rsid w:val="00EF2652"/>
    <w:rsid w:val="00EF5F3E"/>
    <w:rsid w:val="00EF7CD3"/>
    <w:rsid w:val="00F0278C"/>
    <w:rsid w:val="00F04C51"/>
    <w:rsid w:val="00F10028"/>
    <w:rsid w:val="00F11658"/>
    <w:rsid w:val="00F204EE"/>
    <w:rsid w:val="00F23D35"/>
    <w:rsid w:val="00F27A6E"/>
    <w:rsid w:val="00F31B64"/>
    <w:rsid w:val="00F40595"/>
    <w:rsid w:val="00F46CB3"/>
    <w:rsid w:val="00F53CEF"/>
    <w:rsid w:val="00F6210B"/>
    <w:rsid w:val="00F727D4"/>
    <w:rsid w:val="00F75623"/>
    <w:rsid w:val="00F83D85"/>
    <w:rsid w:val="00F847E4"/>
    <w:rsid w:val="00FB332B"/>
    <w:rsid w:val="00FB4690"/>
    <w:rsid w:val="00FB4771"/>
    <w:rsid w:val="00FB72C7"/>
    <w:rsid w:val="00FC6EEE"/>
    <w:rsid w:val="00FD22B3"/>
    <w:rsid w:val="00FE0C17"/>
    <w:rsid w:val="00FE60B3"/>
    <w:rsid w:val="00FF1BCB"/>
    <w:rsid w:val="00FF2630"/>
    <w:rsid w:val="1285730E"/>
    <w:rsid w:val="1809449F"/>
    <w:rsid w:val="1B0E568F"/>
    <w:rsid w:val="47AB36E9"/>
    <w:rsid w:val="4FB36E18"/>
    <w:rsid w:val="59E23024"/>
    <w:rsid w:val="5F89461E"/>
    <w:rsid w:val="77166BA8"/>
    <w:rsid w:val="7D0C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nhideWhenUsed="0" w:uiPriority="0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Times New Roman" w:hAnsi="Times New Roman" w:eastAsia="SimSun" w:cs="Times New Roman"/>
      <w:sz w:val="24"/>
      <w:szCs w:val="24"/>
      <w:lang w:val="en-AU" w:eastAsia="ar-SA" w:bidi="ar-SA"/>
    </w:rPr>
  </w:style>
  <w:style w:type="paragraph" w:styleId="2">
    <w:name w:val="heading 5"/>
    <w:basedOn w:val="1"/>
    <w:next w:val="1"/>
    <w:qFormat/>
    <w:uiPriority w:val="0"/>
    <w:pPr>
      <w:keepNext/>
      <w:tabs>
        <w:tab w:val="left" w:pos="0"/>
        <w:tab w:val="left" w:pos="709"/>
      </w:tabs>
      <w:spacing w:before="240"/>
      <w:jc w:val="both"/>
      <w:outlineLvl w:val="4"/>
    </w:pPr>
    <w:rPr>
      <w:rFonts w:ascii="Arial" w:hAnsi="Arial" w:eastAsia="Times" w:cs="Arial"/>
      <w:b/>
      <w:sz w:val="22"/>
      <w:szCs w:val="20"/>
      <w:u w:val="single"/>
      <w:lang w:val="en-GB"/>
    </w:rPr>
  </w:style>
  <w:style w:type="paragraph" w:styleId="3">
    <w:name w:val="heading 6"/>
    <w:basedOn w:val="1"/>
    <w:next w:val="1"/>
    <w:qFormat/>
    <w:uiPriority w:val="0"/>
    <w:pPr>
      <w:keepNext/>
      <w:keepLines/>
      <w:tabs>
        <w:tab w:val="left" w:pos="0"/>
      </w:tabs>
      <w:ind w:right="-6"/>
      <w:jc w:val="both"/>
      <w:outlineLvl w:val="5"/>
    </w:pPr>
    <w:rPr>
      <w:rFonts w:ascii="Arial" w:hAnsi="Arial" w:eastAsia="Times" w:cs="Arial"/>
      <w:b/>
      <w:bCs/>
      <w:sz w:val="22"/>
      <w:szCs w:val="20"/>
      <w:lang w:val="en-GB"/>
    </w:rPr>
  </w:style>
  <w:style w:type="paragraph" w:styleId="4">
    <w:name w:val="heading 8"/>
    <w:basedOn w:val="1"/>
    <w:next w:val="1"/>
    <w:qFormat/>
    <w:uiPriority w:val="0"/>
    <w:pPr>
      <w:tabs>
        <w:tab w:val="left" w:pos="0"/>
      </w:tabs>
      <w:spacing w:before="240" w:after="60"/>
      <w:outlineLvl w:val="7"/>
    </w:pPr>
    <w:rPr>
      <w:rFonts w:ascii="Calibri" w:hAnsi="Calibri"/>
      <w:i/>
      <w:iCs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8">
    <w:name w:val="Body Text"/>
    <w:basedOn w:val="1"/>
    <w:qFormat/>
    <w:uiPriority w:val="0"/>
    <w:pPr>
      <w:spacing w:after="120"/>
    </w:pPr>
  </w:style>
  <w:style w:type="paragraph" w:styleId="9">
    <w:name w:val="Body Text 3"/>
    <w:basedOn w:val="1"/>
    <w:qFormat/>
    <w:uiPriority w:val="0"/>
    <w:pPr>
      <w:jc w:val="both"/>
    </w:pPr>
    <w:rPr>
      <w:rFonts w:ascii="Arial" w:hAnsi="Arial" w:eastAsia="Times" w:cs="Arial"/>
      <w:bCs/>
      <w:sz w:val="22"/>
      <w:szCs w:val="20"/>
      <w:lang w:val="en-GB"/>
    </w:rPr>
  </w:style>
  <w:style w:type="paragraph" w:styleId="10">
    <w:name w:val="caption"/>
    <w:basedOn w:val="1"/>
    <w:qFormat/>
    <w:uiPriority w:val="0"/>
    <w:pPr>
      <w:suppressLineNumbers/>
      <w:spacing w:before="120" w:after="120"/>
    </w:pPr>
    <w:rPr>
      <w:rFonts w:cs="Tahoma"/>
      <w:i/>
      <w:iCs/>
    </w:rPr>
  </w:style>
  <w:style w:type="character" w:styleId="11">
    <w:name w:val="FollowedHyperlink"/>
    <w:qFormat/>
    <w:uiPriority w:val="0"/>
    <w:rPr>
      <w:color w:val="800080"/>
      <w:u w:val="single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3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character" w:styleId="14">
    <w:name w:val="Hyperlink"/>
    <w:qFormat/>
    <w:uiPriority w:val="0"/>
    <w:rPr>
      <w:color w:val="0000FF"/>
      <w:u w:val="single"/>
    </w:rPr>
  </w:style>
  <w:style w:type="paragraph" w:styleId="15">
    <w:name w:val="List"/>
    <w:basedOn w:val="8"/>
    <w:qFormat/>
    <w:uiPriority w:val="0"/>
    <w:rPr>
      <w:rFonts w:cs="Tahoma"/>
    </w:rPr>
  </w:style>
  <w:style w:type="paragraph" w:styleId="16">
    <w:name w:val="Normal (Web)"/>
    <w:basedOn w:val="1"/>
    <w:unhideWhenUsed/>
    <w:qFormat/>
    <w:uiPriority w:val="99"/>
    <w:pPr>
      <w:suppressAutoHyphens w:val="0"/>
      <w:spacing w:before="100" w:beforeAutospacing="1" w:after="100" w:afterAutospacing="1"/>
    </w:pPr>
    <w:rPr>
      <w:lang w:eastAsia="en-AU"/>
    </w:rPr>
  </w:style>
  <w:style w:type="character" w:styleId="17">
    <w:name w:val="Strong"/>
    <w:basedOn w:val="5"/>
    <w:qFormat/>
    <w:uiPriority w:val="0"/>
    <w:rPr>
      <w:b/>
      <w:bCs/>
    </w:rPr>
  </w:style>
  <w:style w:type="table" w:styleId="18">
    <w:name w:val="Table Grid"/>
    <w:basedOn w:val="6"/>
    <w:qFormat/>
    <w:uiPriority w:val="0"/>
    <w:pPr>
      <w:suppressAutoHyphens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WW8Num2z0"/>
    <w:qFormat/>
    <w:uiPriority w:val="0"/>
    <w:rPr>
      <w:rFonts w:ascii="Symbol" w:hAnsi="Symbol"/>
    </w:rPr>
  </w:style>
  <w:style w:type="character" w:customStyle="1" w:styleId="20">
    <w:name w:val="WW8Num6z0"/>
    <w:qFormat/>
    <w:uiPriority w:val="0"/>
    <w:rPr>
      <w:rFonts w:ascii="Symbol" w:hAnsi="Symbol"/>
    </w:rPr>
  </w:style>
  <w:style w:type="character" w:customStyle="1" w:styleId="21">
    <w:name w:val="WW8Num8z0"/>
    <w:qFormat/>
    <w:uiPriority w:val="0"/>
    <w:rPr>
      <w:rFonts w:ascii="Symbol" w:hAnsi="Symbol"/>
    </w:rPr>
  </w:style>
  <w:style w:type="character" w:customStyle="1" w:styleId="22">
    <w:name w:val="WW8Num10z0"/>
    <w:qFormat/>
    <w:uiPriority w:val="0"/>
    <w:rPr>
      <w:rFonts w:ascii="Symbol" w:hAnsi="Symbol"/>
    </w:rPr>
  </w:style>
  <w:style w:type="character" w:customStyle="1" w:styleId="23">
    <w:name w:val="WW8Num11z0"/>
    <w:qFormat/>
    <w:uiPriority w:val="0"/>
    <w:rPr>
      <w:rFonts w:ascii="Symbol" w:hAnsi="Symbol"/>
    </w:rPr>
  </w:style>
  <w:style w:type="character" w:customStyle="1" w:styleId="24">
    <w:name w:val="WW8Num12z0"/>
    <w:qFormat/>
    <w:uiPriority w:val="0"/>
    <w:rPr>
      <w:rFonts w:ascii="Symbol" w:hAnsi="Symbol"/>
    </w:rPr>
  </w:style>
  <w:style w:type="character" w:customStyle="1" w:styleId="25">
    <w:name w:val="WW8Num13z0"/>
    <w:qFormat/>
    <w:uiPriority w:val="0"/>
    <w:rPr>
      <w:rFonts w:ascii="Symbol" w:hAnsi="Symbol" w:eastAsia="Times New Roman" w:cs="Times New Roman"/>
    </w:rPr>
  </w:style>
  <w:style w:type="character" w:customStyle="1" w:styleId="26">
    <w:name w:val="WW8Num14z0"/>
    <w:qFormat/>
    <w:uiPriority w:val="0"/>
    <w:rPr>
      <w:rFonts w:ascii="Symbol" w:hAnsi="Symbol"/>
    </w:rPr>
  </w:style>
  <w:style w:type="character" w:customStyle="1" w:styleId="27">
    <w:name w:val="WW8Num15z0"/>
    <w:qFormat/>
    <w:uiPriority w:val="0"/>
    <w:rPr>
      <w:rFonts w:ascii="Symbol" w:hAnsi="Symbol"/>
    </w:rPr>
  </w:style>
  <w:style w:type="character" w:customStyle="1" w:styleId="28">
    <w:name w:val="WW8Num16z0"/>
    <w:qFormat/>
    <w:uiPriority w:val="0"/>
    <w:rPr>
      <w:rFonts w:ascii="Symbol" w:hAnsi="Symbol" w:eastAsia="Times New Roman" w:cs="Times New Roman"/>
    </w:rPr>
  </w:style>
  <w:style w:type="character" w:customStyle="1" w:styleId="29">
    <w:name w:val="WW8Num19z0"/>
    <w:qFormat/>
    <w:uiPriority w:val="0"/>
    <w:rPr>
      <w:rFonts w:ascii="Symbol" w:hAnsi="Symbol"/>
    </w:rPr>
  </w:style>
  <w:style w:type="character" w:customStyle="1" w:styleId="30">
    <w:name w:val="WW8Num21z0"/>
    <w:qFormat/>
    <w:uiPriority w:val="0"/>
    <w:rPr>
      <w:rFonts w:ascii="Symbol" w:hAnsi="Symbol"/>
    </w:rPr>
  </w:style>
  <w:style w:type="character" w:customStyle="1" w:styleId="31">
    <w:name w:val="WW8Num23z0"/>
    <w:qFormat/>
    <w:uiPriority w:val="0"/>
    <w:rPr>
      <w:rFonts w:ascii="Symbol" w:hAnsi="Symbol"/>
    </w:rPr>
  </w:style>
  <w:style w:type="character" w:customStyle="1" w:styleId="32">
    <w:name w:val="WW8Num25z0"/>
    <w:qFormat/>
    <w:uiPriority w:val="0"/>
    <w:rPr>
      <w:rFonts w:ascii="Symbol" w:hAnsi="Symbol"/>
    </w:rPr>
  </w:style>
  <w:style w:type="character" w:customStyle="1" w:styleId="33">
    <w:name w:val="WW8Num25z1"/>
    <w:qFormat/>
    <w:uiPriority w:val="0"/>
    <w:rPr>
      <w:rFonts w:ascii="Courier New" w:hAnsi="Courier New" w:cs="Courier New"/>
    </w:rPr>
  </w:style>
  <w:style w:type="character" w:customStyle="1" w:styleId="34">
    <w:name w:val="WW8Num25z2"/>
    <w:qFormat/>
    <w:uiPriority w:val="0"/>
    <w:rPr>
      <w:rFonts w:ascii="Wingdings" w:hAnsi="Wingdings"/>
    </w:rPr>
  </w:style>
  <w:style w:type="character" w:customStyle="1" w:styleId="35">
    <w:name w:val="WW8Num26z0"/>
    <w:qFormat/>
    <w:uiPriority w:val="0"/>
    <w:rPr>
      <w:rFonts w:ascii="Symbol" w:hAnsi="Symbol"/>
    </w:rPr>
  </w:style>
  <w:style w:type="character" w:customStyle="1" w:styleId="36">
    <w:name w:val="WW8Num27z0"/>
    <w:qFormat/>
    <w:uiPriority w:val="0"/>
    <w:rPr>
      <w:rFonts w:ascii="Symbol" w:hAnsi="Symbol"/>
    </w:rPr>
  </w:style>
  <w:style w:type="character" w:customStyle="1" w:styleId="37">
    <w:name w:val="Absatz-Standardschriftart"/>
    <w:qFormat/>
    <w:uiPriority w:val="0"/>
  </w:style>
  <w:style w:type="character" w:customStyle="1" w:styleId="38">
    <w:name w:val="WW8Num1z0"/>
    <w:qFormat/>
    <w:uiPriority w:val="0"/>
    <w:rPr>
      <w:rFonts w:ascii="Symbol" w:hAnsi="Symbol" w:eastAsia="Times New Roman" w:cs="Times New Roman"/>
    </w:rPr>
  </w:style>
  <w:style w:type="character" w:customStyle="1" w:styleId="39">
    <w:name w:val="WW8Num1z1"/>
    <w:qFormat/>
    <w:uiPriority w:val="0"/>
    <w:rPr>
      <w:rFonts w:ascii="Courier New" w:hAnsi="Courier New" w:cs="Courier New"/>
    </w:rPr>
  </w:style>
  <w:style w:type="character" w:customStyle="1" w:styleId="40">
    <w:name w:val="WW8Num1z2"/>
    <w:qFormat/>
    <w:uiPriority w:val="0"/>
    <w:rPr>
      <w:rFonts w:ascii="Wingdings" w:hAnsi="Wingdings"/>
    </w:rPr>
  </w:style>
  <w:style w:type="character" w:customStyle="1" w:styleId="41">
    <w:name w:val="WW8Num1z3"/>
    <w:qFormat/>
    <w:uiPriority w:val="0"/>
    <w:rPr>
      <w:rFonts w:ascii="Symbol" w:hAnsi="Symbol"/>
    </w:rPr>
  </w:style>
  <w:style w:type="character" w:customStyle="1" w:styleId="42">
    <w:name w:val="WW8Num2z1"/>
    <w:qFormat/>
    <w:uiPriority w:val="0"/>
    <w:rPr>
      <w:rFonts w:ascii="Courier New" w:hAnsi="Courier New" w:cs="Courier New"/>
    </w:rPr>
  </w:style>
  <w:style w:type="character" w:customStyle="1" w:styleId="43">
    <w:name w:val="WW8Num2z2"/>
    <w:qFormat/>
    <w:uiPriority w:val="0"/>
    <w:rPr>
      <w:rFonts w:ascii="Wingdings" w:hAnsi="Wingdings"/>
    </w:rPr>
  </w:style>
  <w:style w:type="character" w:customStyle="1" w:styleId="44">
    <w:name w:val="WW8Num3z0"/>
    <w:qFormat/>
    <w:uiPriority w:val="0"/>
    <w:rPr>
      <w:rFonts w:ascii="Symbol" w:hAnsi="Symbol"/>
    </w:rPr>
  </w:style>
  <w:style w:type="character" w:customStyle="1" w:styleId="45">
    <w:name w:val="WW8Num3z1"/>
    <w:qFormat/>
    <w:uiPriority w:val="0"/>
    <w:rPr>
      <w:rFonts w:ascii="Courier New" w:hAnsi="Courier New" w:cs="Courier New"/>
    </w:rPr>
  </w:style>
  <w:style w:type="character" w:customStyle="1" w:styleId="46">
    <w:name w:val="WW8Num3z2"/>
    <w:qFormat/>
    <w:uiPriority w:val="0"/>
    <w:rPr>
      <w:rFonts w:ascii="Wingdings" w:hAnsi="Wingdings"/>
    </w:rPr>
  </w:style>
  <w:style w:type="character" w:customStyle="1" w:styleId="47">
    <w:name w:val="WW8Num7z0"/>
    <w:qFormat/>
    <w:uiPriority w:val="0"/>
    <w:rPr>
      <w:rFonts w:ascii="Symbol" w:hAnsi="Symbol"/>
    </w:rPr>
  </w:style>
  <w:style w:type="character" w:customStyle="1" w:styleId="48">
    <w:name w:val="WW8Num7z1"/>
    <w:qFormat/>
    <w:uiPriority w:val="0"/>
    <w:rPr>
      <w:rFonts w:ascii="Courier New" w:hAnsi="Courier New" w:cs="Courier New"/>
    </w:rPr>
  </w:style>
  <w:style w:type="character" w:customStyle="1" w:styleId="49">
    <w:name w:val="WW8Num7z2"/>
    <w:qFormat/>
    <w:uiPriority w:val="0"/>
    <w:rPr>
      <w:rFonts w:ascii="Wingdings" w:hAnsi="Wingdings"/>
    </w:rPr>
  </w:style>
  <w:style w:type="character" w:customStyle="1" w:styleId="50">
    <w:name w:val="WW8Num8z1"/>
    <w:qFormat/>
    <w:uiPriority w:val="0"/>
    <w:rPr>
      <w:rFonts w:ascii="Courier New" w:hAnsi="Courier New" w:cs="Courier New"/>
    </w:rPr>
  </w:style>
  <w:style w:type="character" w:customStyle="1" w:styleId="51">
    <w:name w:val="WW8Num8z2"/>
    <w:qFormat/>
    <w:uiPriority w:val="0"/>
    <w:rPr>
      <w:rFonts w:ascii="Wingdings" w:hAnsi="Wingdings"/>
    </w:rPr>
  </w:style>
  <w:style w:type="character" w:customStyle="1" w:styleId="52">
    <w:name w:val="WW8Num8z3"/>
    <w:qFormat/>
    <w:uiPriority w:val="0"/>
    <w:rPr>
      <w:rFonts w:ascii="Symbol" w:hAnsi="Symbol"/>
    </w:rPr>
  </w:style>
  <w:style w:type="character" w:customStyle="1" w:styleId="53">
    <w:name w:val="WW8Num9z0"/>
    <w:qFormat/>
    <w:uiPriority w:val="0"/>
    <w:rPr>
      <w:rFonts w:ascii="Symbol" w:hAnsi="Symbol"/>
    </w:rPr>
  </w:style>
  <w:style w:type="character" w:customStyle="1" w:styleId="54">
    <w:name w:val="WW8Num9z1"/>
    <w:qFormat/>
    <w:uiPriority w:val="0"/>
    <w:rPr>
      <w:rFonts w:ascii="Courier New" w:hAnsi="Courier New" w:cs="Courier New"/>
    </w:rPr>
  </w:style>
  <w:style w:type="character" w:customStyle="1" w:styleId="55">
    <w:name w:val="WW8Num9z2"/>
    <w:qFormat/>
    <w:uiPriority w:val="0"/>
    <w:rPr>
      <w:rFonts w:ascii="Wingdings" w:hAnsi="Wingdings"/>
    </w:rPr>
  </w:style>
  <w:style w:type="character" w:customStyle="1" w:styleId="56">
    <w:name w:val="WW8Num10z1"/>
    <w:qFormat/>
    <w:uiPriority w:val="0"/>
    <w:rPr>
      <w:rFonts w:ascii="Times New Roman" w:hAnsi="Times New Roman" w:eastAsia="Times New Roman" w:cs="Times New Roman"/>
    </w:rPr>
  </w:style>
  <w:style w:type="character" w:customStyle="1" w:styleId="57">
    <w:name w:val="WW8Num11z1"/>
    <w:qFormat/>
    <w:uiPriority w:val="0"/>
    <w:rPr>
      <w:rFonts w:ascii="Courier New" w:hAnsi="Courier New" w:cs="Courier New"/>
    </w:rPr>
  </w:style>
  <w:style w:type="character" w:customStyle="1" w:styleId="58">
    <w:name w:val="WW8Num11z2"/>
    <w:qFormat/>
    <w:uiPriority w:val="0"/>
    <w:rPr>
      <w:rFonts w:ascii="Wingdings" w:hAnsi="Wingdings"/>
    </w:rPr>
  </w:style>
  <w:style w:type="character" w:customStyle="1" w:styleId="59">
    <w:name w:val="WW8Num12z1"/>
    <w:qFormat/>
    <w:uiPriority w:val="0"/>
    <w:rPr>
      <w:rFonts w:ascii="Courier New" w:hAnsi="Courier New" w:cs="Times"/>
    </w:rPr>
  </w:style>
  <w:style w:type="character" w:customStyle="1" w:styleId="60">
    <w:name w:val="WW8Num12z2"/>
    <w:qFormat/>
    <w:uiPriority w:val="0"/>
    <w:rPr>
      <w:rFonts w:ascii="Wingdings" w:hAnsi="Wingdings"/>
    </w:rPr>
  </w:style>
  <w:style w:type="character" w:customStyle="1" w:styleId="61">
    <w:name w:val="WW8Num13z2"/>
    <w:qFormat/>
    <w:uiPriority w:val="0"/>
    <w:rPr>
      <w:rFonts w:ascii="Wingdings" w:hAnsi="Wingdings"/>
    </w:rPr>
  </w:style>
  <w:style w:type="character" w:customStyle="1" w:styleId="62">
    <w:name w:val="WW8Num13z3"/>
    <w:qFormat/>
    <w:uiPriority w:val="0"/>
    <w:rPr>
      <w:rFonts w:ascii="Symbol" w:hAnsi="Symbol"/>
    </w:rPr>
  </w:style>
  <w:style w:type="character" w:customStyle="1" w:styleId="63">
    <w:name w:val="WW8Num13z4"/>
    <w:qFormat/>
    <w:uiPriority w:val="0"/>
    <w:rPr>
      <w:rFonts w:ascii="Courier New" w:hAnsi="Courier New" w:cs="Courier New"/>
    </w:rPr>
  </w:style>
  <w:style w:type="character" w:customStyle="1" w:styleId="64">
    <w:name w:val="WW8Num14z1"/>
    <w:qFormat/>
    <w:uiPriority w:val="0"/>
    <w:rPr>
      <w:rFonts w:ascii="Courier New" w:hAnsi="Courier New" w:cs="Courier New"/>
    </w:rPr>
  </w:style>
  <w:style w:type="character" w:customStyle="1" w:styleId="65">
    <w:name w:val="WW8Num14z2"/>
    <w:qFormat/>
    <w:uiPriority w:val="0"/>
    <w:rPr>
      <w:rFonts w:ascii="Wingdings" w:hAnsi="Wingdings"/>
    </w:rPr>
  </w:style>
  <w:style w:type="character" w:customStyle="1" w:styleId="66">
    <w:name w:val="WW8Num15z1"/>
    <w:qFormat/>
    <w:uiPriority w:val="0"/>
    <w:rPr>
      <w:rFonts w:ascii="Courier New" w:hAnsi="Courier New" w:cs="Courier New"/>
    </w:rPr>
  </w:style>
  <w:style w:type="character" w:customStyle="1" w:styleId="67">
    <w:name w:val="WW8Num15z2"/>
    <w:qFormat/>
    <w:uiPriority w:val="0"/>
    <w:rPr>
      <w:rFonts w:ascii="Wingdings" w:hAnsi="Wingdings"/>
    </w:rPr>
  </w:style>
  <w:style w:type="character" w:customStyle="1" w:styleId="68">
    <w:name w:val="WW8Num16z1"/>
    <w:uiPriority w:val="0"/>
    <w:rPr>
      <w:rFonts w:ascii="Courier New" w:hAnsi="Courier New" w:cs="Courier New"/>
    </w:rPr>
  </w:style>
  <w:style w:type="character" w:customStyle="1" w:styleId="69">
    <w:name w:val="WW8Num16z2"/>
    <w:uiPriority w:val="0"/>
    <w:rPr>
      <w:rFonts w:ascii="Wingdings" w:hAnsi="Wingdings"/>
    </w:rPr>
  </w:style>
  <w:style w:type="character" w:customStyle="1" w:styleId="70">
    <w:name w:val="WW8Num16z3"/>
    <w:qFormat/>
    <w:uiPriority w:val="0"/>
    <w:rPr>
      <w:rFonts w:ascii="Symbol" w:hAnsi="Symbol"/>
    </w:rPr>
  </w:style>
  <w:style w:type="character" w:customStyle="1" w:styleId="71">
    <w:name w:val="WW8Num17z0"/>
    <w:uiPriority w:val="0"/>
    <w:rPr>
      <w:rFonts w:ascii="Symbol" w:hAnsi="Symbol"/>
    </w:rPr>
  </w:style>
  <w:style w:type="character" w:customStyle="1" w:styleId="72">
    <w:name w:val="WW8Num20z0"/>
    <w:uiPriority w:val="0"/>
    <w:rPr>
      <w:rFonts w:ascii="Symbol" w:hAnsi="Symbol"/>
    </w:rPr>
  </w:style>
  <w:style w:type="character" w:customStyle="1" w:styleId="73">
    <w:name w:val="WW8Num20z1"/>
    <w:uiPriority w:val="0"/>
    <w:rPr>
      <w:rFonts w:ascii="Courier New" w:hAnsi="Courier New" w:cs="Courier New"/>
    </w:rPr>
  </w:style>
  <w:style w:type="character" w:customStyle="1" w:styleId="74">
    <w:name w:val="WW8Num20z2"/>
    <w:uiPriority w:val="0"/>
    <w:rPr>
      <w:rFonts w:ascii="Wingdings" w:hAnsi="Wingdings"/>
    </w:rPr>
  </w:style>
  <w:style w:type="character" w:customStyle="1" w:styleId="75">
    <w:name w:val="WW8Num22z0"/>
    <w:uiPriority w:val="0"/>
    <w:rPr>
      <w:rFonts w:ascii="Symbol" w:hAnsi="Symbol" w:eastAsia="Times New Roman" w:cs="Times New Roman"/>
    </w:rPr>
  </w:style>
  <w:style w:type="character" w:customStyle="1" w:styleId="76">
    <w:name w:val="WW8Num22z1"/>
    <w:qFormat/>
    <w:uiPriority w:val="0"/>
    <w:rPr>
      <w:rFonts w:ascii="Courier New" w:hAnsi="Courier New" w:cs="Courier New"/>
    </w:rPr>
  </w:style>
  <w:style w:type="character" w:customStyle="1" w:styleId="77">
    <w:name w:val="WW8Num22z2"/>
    <w:qFormat/>
    <w:uiPriority w:val="0"/>
    <w:rPr>
      <w:rFonts w:ascii="Wingdings" w:hAnsi="Wingdings"/>
    </w:rPr>
  </w:style>
  <w:style w:type="character" w:customStyle="1" w:styleId="78">
    <w:name w:val="WW8Num22z3"/>
    <w:uiPriority w:val="0"/>
    <w:rPr>
      <w:rFonts w:ascii="Symbol" w:hAnsi="Symbol"/>
    </w:rPr>
  </w:style>
  <w:style w:type="character" w:customStyle="1" w:styleId="79">
    <w:name w:val="WW8Num24z0"/>
    <w:uiPriority w:val="0"/>
    <w:rPr>
      <w:rFonts w:ascii="Symbol" w:hAnsi="Symbol"/>
    </w:rPr>
  </w:style>
  <w:style w:type="character" w:customStyle="1" w:styleId="80">
    <w:name w:val="WW8Num24z1"/>
    <w:uiPriority w:val="0"/>
    <w:rPr>
      <w:rFonts w:ascii="Courier New" w:hAnsi="Courier New" w:cs="Courier New"/>
    </w:rPr>
  </w:style>
  <w:style w:type="character" w:customStyle="1" w:styleId="81">
    <w:name w:val="WW8Num24z2"/>
    <w:uiPriority w:val="0"/>
    <w:rPr>
      <w:rFonts w:ascii="Wingdings" w:hAnsi="Wingdings"/>
    </w:rPr>
  </w:style>
  <w:style w:type="character" w:customStyle="1" w:styleId="82">
    <w:name w:val="WW8Num27z1"/>
    <w:qFormat/>
    <w:uiPriority w:val="0"/>
    <w:rPr>
      <w:rFonts w:ascii="Courier New" w:hAnsi="Courier New" w:cs="Courier New"/>
    </w:rPr>
  </w:style>
  <w:style w:type="character" w:customStyle="1" w:styleId="83">
    <w:name w:val="WW8Num27z2"/>
    <w:uiPriority w:val="0"/>
    <w:rPr>
      <w:rFonts w:ascii="Wingdings" w:hAnsi="Wingdings"/>
    </w:rPr>
  </w:style>
  <w:style w:type="character" w:customStyle="1" w:styleId="84">
    <w:name w:val="WW8Num29z0"/>
    <w:uiPriority w:val="0"/>
    <w:rPr>
      <w:rFonts w:ascii="Symbol" w:hAnsi="Symbol"/>
    </w:rPr>
  </w:style>
  <w:style w:type="character" w:customStyle="1" w:styleId="85">
    <w:name w:val="WW8Num29z1"/>
    <w:uiPriority w:val="0"/>
    <w:rPr>
      <w:rFonts w:ascii="Courier New" w:hAnsi="Courier New" w:cs="Courier New"/>
    </w:rPr>
  </w:style>
  <w:style w:type="character" w:customStyle="1" w:styleId="86">
    <w:name w:val="WW8Num29z2"/>
    <w:uiPriority w:val="0"/>
    <w:rPr>
      <w:rFonts w:ascii="Wingdings" w:hAnsi="Wingdings"/>
    </w:rPr>
  </w:style>
  <w:style w:type="character" w:customStyle="1" w:styleId="87">
    <w:name w:val="WW8Num30z0"/>
    <w:uiPriority w:val="0"/>
    <w:rPr>
      <w:rFonts w:ascii="Symbol" w:hAnsi="Symbol"/>
    </w:rPr>
  </w:style>
  <w:style w:type="character" w:customStyle="1" w:styleId="88">
    <w:name w:val="WW8Num30z1"/>
    <w:uiPriority w:val="0"/>
    <w:rPr>
      <w:rFonts w:ascii="Courier New" w:hAnsi="Courier New" w:cs="Courier New"/>
    </w:rPr>
  </w:style>
  <w:style w:type="character" w:customStyle="1" w:styleId="89">
    <w:name w:val="WW8Num30z2"/>
    <w:uiPriority w:val="0"/>
    <w:rPr>
      <w:rFonts w:ascii="Wingdings" w:hAnsi="Wingdings"/>
    </w:rPr>
  </w:style>
  <w:style w:type="character" w:customStyle="1" w:styleId="90">
    <w:name w:val="WW8Num31z0"/>
    <w:uiPriority w:val="0"/>
    <w:rPr>
      <w:rFonts w:ascii="Symbol" w:hAnsi="Symbol"/>
    </w:rPr>
  </w:style>
  <w:style w:type="character" w:customStyle="1" w:styleId="91">
    <w:name w:val="WW8Num31z1"/>
    <w:uiPriority w:val="0"/>
    <w:rPr>
      <w:rFonts w:ascii="Courier New" w:hAnsi="Courier New" w:cs="Courier New"/>
    </w:rPr>
  </w:style>
  <w:style w:type="character" w:customStyle="1" w:styleId="92">
    <w:name w:val="WW8Num31z2"/>
    <w:uiPriority w:val="0"/>
    <w:rPr>
      <w:rFonts w:ascii="Wingdings" w:hAnsi="Wingdings"/>
    </w:rPr>
  </w:style>
  <w:style w:type="character" w:customStyle="1" w:styleId="93">
    <w:name w:val="Heading 8 Char"/>
    <w:uiPriority w:val="0"/>
    <w:rPr>
      <w:rFonts w:ascii="Calibri" w:hAnsi="Calibri" w:eastAsia="Times New Roman" w:cs="Times New Roman"/>
      <w:i/>
      <w:iCs/>
      <w:sz w:val="24"/>
      <w:szCs w:val="24"/>
    </w:rPr>
  </w:style>
  <w:style w:type="paragraph" w:customStyle="1" w:styleId="94">
    <w:name w:val="Heading"/>
    <w:basedOn w:val="1"/>
    <w:next w:val="8"/>
    <w:uiPriority w:val="0"/>
    <w:pPr>
      <w:keepNext/>
      <w:spacing w:before="240" w:after="120"/>
    </w:pPr>
    <w:rPr>
      <w:rFonts w:ascii="Arial" w:hAnsi="Arial" w:eastAsia="MS Mincho" w:cs="Tahoma"/>
      <w:sz w:val="28"/>
      <w:szCs w:val="28"/>
    </w:rPr>
  </w:style>
  <w:style w:type="paragraph" w:customStyle="1" w:styleId="95">
    <w:name w:val="Index"/>
    <w:basedOn w:val="1"/>
    <w:uiPriority w:val="0"/>
    <w:pPr>
      <w:suppressLineNumbers/>
    </w:pPr>
    <w:rPr>
      <w:rFonts w:cs="Tahoma"/>
    </w:rPr>
  </w:style>
  <w:style w:type="paragraph" w:customStyle="1" w:styleId="96">
    <w:name w:val="UO-BodyText 1.1"/>
    <w:basedOn w:val="1"/>
    <w:uiPriority w:val="0"/>
    <w:pPr>
      <w:ind w:left="851"/>
    </w:pPr>
    <w:rPr>
      <w:szCs w:val="20"/>
    </w:rPr>
  </w:style>
  <w:style w:type="paragraph" w:customStyle="1" w:styleId="97">
    <w:name w:val="UO-Heading 1"/>
    <w:next w:val="1"/>
    <w:uiPriority w:val="0"/>
    <w:pPr>
      <w:suppressAutoHyphens/>
    </w:pPr>
    <w:rPr>
      <w:rFonts w:ascii="Arial" w:hAnsi="Arial" w:eastAsia="SimSun" w:cs="Arial"/>
      <w:b/>
      <w:bCs/>
      <w:kern w:val="1"/>
      <w:sz w:val="24"/>
      <w:szCs w:val="32"/>
      <w:lang w:val="en-AU" w:eastAsia="ar-SA" w:bidi="ar-SA"/>
    </w:rPr>
  </w:style>
  <w:style w:type="paragraph" w:customStyle="1" w:styleId="98">
    <w:name w:val="UO-Heading 2"/>
    <w:next w:val="1"/>
    <w:uiPriority w:val="0"/>
    <w:pPr>
      <w:suppressAutoHyphens/>
    </w:pPr>
    <w:rPr>
      <w:rFonts w:ascii="Arial" w:hAnsi="Arial" w:eastAsia="SimSun" w:cs="Arial"/>
      <w:b/>
      <w:bCs/>
      <w:kern w:val="1"/>
      <w:sz w:val="24"/>
      <w:szCs w:val="32"/>
      <w:lang w:val="en-AU" w:eastAsia="ar-SA" w:bidi="ar-SA"/>
    </w:rPr>
  </w:style>
  <w:style w:type="paragraph" w:customStyle="1" w:styleId="99">
    <w:name w:val="UO-Heading3"/>
    <w:basedOn w:val="98"/>
    <w:uiPriority w:val="0"/>
    <w:rPr>
      <w:i/>
    </w:rPr>
  </w:style>
  <w:style w:type="paragraph" w:customStyle="1" w:styleId="100">
    <w:name w:val="UO-Body Text"/>
    <w:basedOn w:val="1"/>
    <w:uiPriority w:val="0"/>
    <w:rPr>
      <w:szCs w:val="20"/>
    </w:rPr>
  </w:style>
  <w:style w:type="paragraph" w:customStyle="1" w:styleId="101">
    <w:name w:val="UO Indent 1/2"/>
    <w:basedOn w:val="1"/>
    <w:uiPriority w:val="0"/>
    <w:pPr>
      <w:spacing w:line="240" w:lineRule="exact"/>
      <w:ind w:left="1134" w:hanging="594"/>
      <w:jc w:val="both"/>
    </w:pPr>
    <w:rPr>
      <w:sz w:val="20"/>
      <w:szCs w:val="20"/>
    </w:rPr>
  </w:style>
  <w:style w:type="paragraph" w:customStyle="1" w:styleId="102">
    <w:name w:val="UO-Bullet List"/>
    <w:basedOn w:val="1"/>
    <w:uiPriority w:val="0"/>
    <w:pPr>
      <w:numPr>
        <w:ilvl w:val="0"/>
        <w:numId w:val="1"/>
      </w:numPr>
    </w:pPr>
    <w:rPr>
      <w:szCs w:val="20"/>
    </w:rPr>
  </w:style>
  <w:style w:type="paragraph" w:customStyle="1" w:styleId="103">
    <w:name w:val="Indent 0/0"/>
    <w:basedOn w:val="1"/>
    <w:qFormat/>
    <w:uiPriority w:val="0"/>
    <w:pPr>
      <w:ind w:right="-582"/>
      <w:jc w:val="both"/>
    </w:pPr>
    <w:rPr>
      <w:szCs w:val="20"/>
    </w:rPr>
  </w:style>
  <w:style w:type="paragraph" w:customStyle="1" w:styleId="104">
    <w:name w:val="St info Heading 1"/>
    <w:basedOn w:val="1"/>
    <w:uiPriority w:val="0"/>
    <w:pPr>
      <w:keepNext/>
      <w:ind w:right="-159" w:hanging="539"/>
      <w:jc w:val="both"/>
    </w:pPr>
    <w:rPr>
      <w:b/>
      <w:szCs w:val="20"/>
    </w:rPr>
  </w:style>
  <w:style w:type="paragraph" w:customStyle="1" w:styleId="105">
    <w:name w:val="UO Heading 1/1"/>
    <w:basedOn w:val="1"/>
    <w:uiPriority w:val="0"/>
    <w:pPr>
      <w:ind w:left="567" w:hanging="27"/>
    </w:pPr>
    <w:rPr>
      <w:rFonts w:ascii="Arial" w:hAnsi="Arial" w:cs="Arial"/>
      <w:b/>
    </w:rPr>
  </w:style>
  <w:style w:type="paragraph" w:customStyle="1" w:styleId="106">
    <w:name w:val="Table Contents"/>
    <w:basedOn w:val="1"/>
    <w:uiPriority w:val="0"/>
    <w:pPr>
      <w:suppressLineNumbers/>
    </w:pPr>
  </w:style>
  <w:style w:type="paragraph" w:customStyle="1" w:styleId="107">
    <w:name w:val="Table Heading"/>
    <w:basedOn w:val="106"/>
    <w:uiPriority w:val="0"/>
    <w:pPr>
      <w:jc w:val="center"/>
    </w:pPr>
    <w:rPr>
      <w:b/>
      <w:bCs/>
    </w:rPr>
  </w:style>
  <w:style w:type="character" w:customStyle="1" w:styleId="108">
    <w:name w:val="ft6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http://www.metu.edu.tr/images/logo1.gif" TargetMode="Externa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TOSHIBA</Company>
  <Pages>4</Pages>
  <Words>611</Words>
  <Characters>3489</Characters>
  <Lines>29</Lines>
  <Paragraphs>8</Paragraphs>
  <TotalTime>25</TotalTime>
  <ScaleCrop>false</ScaleCrop>
  <LinksUpToDate>false</LinksUpToDate>
  <CharactersWithSpaces>4092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2010-12-07T13:00:00Z</dcterms:created>
  <dc:creator>VDE</dc:creator>
  <cp:lastModifiedBy>Asli Niyazi</cp:lastModifiedBy>
  <cp:lastPrinted>2010-02-23T11:31:00Z</cp:lastPrinted>
  <dcterms:modified xsi:type="dcterms:W3CDTF">2025-09-24T06:18:41Z</dcterms:modified>
  <dc:title>Unit Outline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ED1DF1799B594F928C1513E95B8FBEE7_13</vt:lpwstr>
  </property>
</Properties>
</file>