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28"/>
          <w:szCs w:val="28"/>
        </w:rPr>
        <w:t xml:space="preserve">INACAP</w:t>
      </w:r>
    </w:p>
    <w:p>
      <w:pPr>
        <w:spacing w:after="120"/>
        <w:jc w:val="center"/>
      </w:pPr>
      <w:r>
        <w:rPr>
          <w:rFonts w:ascii="Arial" w:cs="Arial" w:eastAsia="Arial" w:hAnsi="Arial"/>
          <w:sz w:val="24"/>
          <w:szCs w:val="24"/>
        </w:rPr>
        <w:t xml:space="preserve">Área Informática y Telecomunicaciones</w:t>
      </w:r>
    </w:p>
    <w:p>
      <w:pPr>
        <w:spacing w:after="1600"/>
        <w:jc w:val="center"/>
      </w:pPr>
      <w:r>
        <w:rPr>
          <w:rFonts w:ascii="Arial" w:cs="Arial" w:eastAsia="Arial" w:hAnsi="Arial"/>
          <w:sz w:val="24"/>
          <w:szCs w:val="24"/>
        </w:rPr>
        <w:t xml:space="preserve">Ingeniería en Informática</w:t>
      </w:r>
    </w:p>
    <w:p>
      <w:pPr>
        <w:spacing w:after="120"/>
        <w:jc w:val="center"/>
      </w:pPr>
      <w:r>
        <w:rPr>
          <w:rFonts w:ascii="Arial" w:cs="Arial" w:eastAsia="Arial" w:hAnsi="Arial"/>
          <w:b/>
          <w:bCs/>
          <w:sz w:val="28"/>
          <w:szCs w:val="28"/>
        </w:rPr>
        <w:t xml:space="preserve">Proyecto de Integración – TIHI63</w:t>
      </w:r>
    </w:p>
    <w:p>
      <w:pPr>
        <w:spacing w:after="200"/>
        <w:jc w:val="center"/>
      </w:pPr>
      <w:r>
        <w:rPr>
          <w:rFonts w:ascii="Arial" w:cs="Arial" w:eastAsia="Arial" w:hAnsi="Arial"/>
          <w:b/>
          <w:bCs/>
          <w:color w:val="1F3864"/>
          <w:sz w:val="40"/>
          <w:szCs w:val="40"/>
        </w:rPr>
        <w:t xml:space="preserve">Informe de Desarrollo</w:t>
      </w:r>
    </w:p>
    <w:p>
      <w:pPr>
        <w:spacing w:after="1800"/>
        <w:jc w:val="center"/>
      </w:pPr>
      <w:r>
        <w:rPr>
          <w:rFonts w:ascii="Arial" w:cs="Arial" w:eastAsia="Arial" w:hAnsi="Arial"/>
          <w:sz w:val="24"/>
          <w:szCs w:val="24"/>
        </w:rPr>
        <w:t xml:space="preserve">Spotly: plataforma web de arriendo temporal de espacios por hora, día o mes</w:t>
      </w:r>
    </w:p>
    <w:p>
      <w:pPr>
        <w:spacing w:after="120"/>
        <w:jc w:val="center"/>
      </w:pPr>
      <w:r>
        <w:rPr>
          <w:rFonts w:ascii="Arial" w:cs="Arial" w:eastAsia="Arial" w:hAnsi="Arial"/>
          <w:sz w:val="22"/>
          <w:szCs w:val="22"/>
        </w:rPr>
        <w:t xml:space="preserve">Asignatura: Proyecto de Integración (TIHI63)</w:t>
      </w:r>
    </w:p>
    <w:p>
      <w:pPr>
        <w:spacing w:after="120"/>
        <w:jc w:val="center"/>
      </w:pPr>
      <w:r>
        <w:rPr>
          <w:rFonts w:ascii="Arial" w:cs="Arial" w:eastAsia="Arial" w:hAnsi="Arial"/>
          <w:sz w:val="22"/>
          <w:szCs w:val="22"/>
        </w:rPr>
        <w:t xml:space="preserve">Sección: [completar]</w:t>
      </w:r>
    </w:p>
    <w:p>
      <w:pPr>
        <w:spacing w:after="400"/>
        <w:jc w:val="center"/>
      </w:pPr>
      <w:r>
        <w:rPr>
          <w:rFonts w:ascii="Arial" w:cs="Arial" w:eastAsia="Arial" w:hAnsi="Arial"/>
          <w:sz w:val="22"/>
          <w:szCs w:val="22"/>
        </w:rPr>
        <w:t xml:space="preserve">Nombre del académico: [completar]</w:t>
      </w:r>
    </w:p>
    <w:p>
      <w:pPr>
        <w:spacing w:after="120"/>
        <w:jc w:val="center"/>
      </w:pPr>
      <w:r>
        <w:rPr>
          <w:rFonts w:ascii="Arial" w:cs="Arial" w:eastAsia="Arial" w:hAnsi="Arial"/>
          <w:b/>
          <w:bCs/>
          <w:sz w:val="22"/>
          <w:szCs w:val="22"/>
        </w:rPr>
        <w:t xml:space="preserve">Integrantes:</w:t>
      </w:r>
    </w:p>
    <w:p>
      <w:pPr>
        <w:spacing w:after="120"/>
        <w:jc w:val="center"/>
      </w:pPr>
      <w:r>
        <w:rPr>
          <w:rFonts w:ascii="Arial" w:cs="Arial" w:eastAsia="Arial" w:hAnsi="Arial"/>
          <w:sz w:val="22"/>
          <w:szCs w:val="22"/>
        </w:rPr>
        <w:t xml:space="preserve">Albert Ríos</w:t>
      </w:r>
    </w:p>
    <w:p>
      <w:pPr>
        <w:spacing w:after="120"/>
        <w:jc w:val="center"/>
      </w:pPr>
      <w:r>
        <w:rPr>
          <w:rFonts w:ascii="Arial" w:cs="Arial" w:eastAsia="Arial" w:hAnsi="Arial"/>
          <w:sz w:val="22"/>
          <w:szCs w:val="22"/>
        </w:rPr>
        <w:t xml:space="preserve">[Integrante 2]</w:t>
      </w:r>
    </w:p>
    <w:p>
      <w:pPr>
        <w:spacing w:after="600"/>
        <w:jc w:val="center"/>
      </w:pPr>
      <w:r>
        <w:rPr>
          <w:rFonts w:ascii="Arial" w:cs="Arial" w:eastAsia="Arial" w:hAnsi="Arial"/>
          <w:sz w:val="22"/>
          <w:szCs w:val="22"/>
        </w:rPr>
        <w:t xml:space="preserve">[Integrante 3]</w:t>
      </w:r>
    </w:p>
    <w:p>
      <w:pPr>
        <w:spacing w:after="120"/>
        <w:jc w:val="center"/>
      </w:pPr>
      <w:r>
        <w:rPr>
          <w:rFonts w:ascii="Arial" w:cs="Arial" w:eastAsia="Arial" w:hAnsi="Arial"/>
          <w:sz w:val="22"/>
          <w:szCs w:val="22"/>
        </w:rPr>
        <w:t xml:space="preserve">Versión actualizada: 23 de octubre de 2026</w:t>
      </w:r>
    </w:p>
    <w:p>
      <w:pPr>
        <w:spacing w:after="120"/>
        <w:jc w:val="center"/>
      </w:pPr>
      <w:r>
        <w:rPr>
          <w:rFonts w:ascii="Arial" w:cs="Arial" w:eastAsia="Arial" w:hAnsi="Arial"/>
          <w:sz w:val="22"/>
          <w:szCs w:val="22"/>
        </w:rPr>
        <w:t xml:space="preserve">Fecha de entrega: [dd/mm/2026]</w:t>
      </w:r>
    </w:p>
    <w:p>
      <w:r>
        <w:br w:type="page"/>
      </w:r>
    </w:p>
    <w:p>
      <w:pPr>
        <w:spacing w:after="200"/>
      </w:pPr>
      <w:r>
        <w:rPr>
          <w:rFonts w:ascii="Arial" w:cs="Arial" w:eastAsia="Arial" w:hAnsi="Arial"/>
          <w:b/>
          <w:bCs/>
          <w:color w:val="1F3864"/>
          <w:sz w:val="28"/>
          <w:szCs w:val="28"/>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spacing w:before="120"/>
      </w:pPr>
      <w:r>
        <w:rPr>
          <w:rFonts w:ascii="Arial" w:cs="Arial" w:eastAsia="Arial" w:hAnsi="Arial"/>
          <w:i/>
          <w:iCs/>
          <w:color w:val="7F7F7F"/>
          <w:sz w:val="18"/>
          <w:szCs w:val="18"/>
        </w:rPr>
        <w:t xml:space="preserve">(Si el índice aparece vacío, en Word: clic derecho sobre él → Actualizar campos → Actualizar toda la tabla.)</w:t>
      </w:r>
    </w:p>
    <w:p>
      <w:r>
        <w:br w:type="page"/>
      </w:r>
    </w:p>
    <w:p>
      <w:pPr>
        <w:pStyle w:val="Heading1"/>
        <w:spacing w:after="160" w:before="240"/>
      </w:pPr>
      <w:r>
        <w:rPr>
          <w:rFonts w:ascii="Arial" w:cs="Arial" w:eastAsia="Arial" w:hAnsi="Arial"/>
          <w:b/>
          <w:bCs/>
          <w:color w:val="1F3864"/>
          <w:sz w:val="28"/>
          <w:szCs w:val="28"/>
        </w:rPr>
        <w:t xml:space="preserve">I. Introducción</w:t>
      </w:r>
    </w:p>
    <w:p>
      <w:pPr>
        <w:spacing w:after="140" w:line="260"/>
        <w:jc w:val="both"/>
      </w:pPr>
      <w:r>
        <w:rPr>
          <w:rFonts w:ascii="Arial" w:cs="Arial" w:eastAsia="Arial" w:hAnsi="Arial"/>
          <w:sz w:val="22"/>
          <w:szCs w:val="22"/>
        </w:rPr>
        <w:t xml:space="preserve">En la Unidad 1 del Proyecto de Integración, el equipo identificó un problema concreto del mercado chileno: los propietarios de espacios subutilizados (bodegas, estacionamientos, oficinas, salas de reuniones, locales y estudios) no contaban con un canal confiable para arrendarlos por períodos cortos, mientras que personas y pequeñas empresas que necesitaban un espacio por horas o días debían recurrir a avisos informales, sin verificación de identidad, sin contrato y sin un medio de pago seguro. A partir de ese diagnóstico se levantaron los requisitos y se definió </w:t>
      </w:r>
      <w:r>
        <w:rPr>
          <w:rFonts w:ascii="Arial" w:cs="Arial" w:eastAsia="Arial" w:hAnsi="Arial"/>
          <w:b/>
          <w:bCs/>
          <w:sz w:val="22"/>
          <w:szCs w:val="22"/>
        </w:rPr>
        <w:t xml:space="preserve">Spotly</w:t>
      </w:r>
      <w:r>
        <w:rPr>
          <w:rFonts w:ascii="Arial" w:cs="Arial" w:eastAsia="Arial" w:hAnsi="Arial"/>
          <w:sz w:val="22"/>
          <w:szCs w:val="22"/>
        </w:rPr>
        <w:t xml:space="preserve">, un marketplace web que conecta a propietarios y arrendatarios para arrendar espacios por hora, día o mes con verificación de identidad, contrato digital y pago en línea.</w:t>
      </w:r>
    </w:p>
    <w:p>
      <w:pPr>
        <w:spacing w:after="140" w:line="260"/>
        <w:jc w:val="both"/>
      </w:pPr>
      <w:r>
        <w:rPr>
          <w:rFonts w:ascii="Arial" w:cs="Arial" w:eastAsia="Arial" w:hAnsi="Arial"/>
          <w:sz w:val="22"/>
          <w:szCs w:val="22"/>
        </w:rPr>
        <w:t xml:space="preserve">Durante la Unidad 2 el equipo pasó del análisis al desarrollo. Se diseñó la topología, la infraestructura y la arquitectura de la solución; se compararon de forma cualitativa y cuantitativa las tecnologías, lenguajes, plataformas, hardware y servicios TI disponibles; se evaluó a los proveedores en términos de costo, seguridad, calidad y rendimiento; y se construyó un prototipo funcional sobre React, TypeScript, Supabase (PostgreSQL), Vercel y Transbank Webpay, que implementó los procesos centrales del negocio: registro y verificación de usuarios, publicación de espacios, reserva sin sobreventa, contrato con huella SHA-256, pago, billetera de tarjetas, disputas y panel de administración.</w:t>
      </w:r>
    </w:p>
    <w:p>
      <w:pPr>
        <w:spacing w:after="140" w:line="260"/>
        <w:jc w:val="both"/>
      </w:pPr>
      <w:r>
        <w:rPr>
          <w:rFonts w:ascii="Arial" w:cs="Arial" w:eastAsia="Arial" w:hAnsi="Arial"/>
          <w:sz w:val="22"/>
          <w:szCs w:val="22"/>
        </w:rPr>
        <w:t xml:space="preserve">En la etapa final de la unidad el prototipo se refinó a partir de la retroalimentación de usuarios: se incorporó una identidad visual propia (logotipo «sp●tly»), una portada con fotografías de espacios reales, animaciones con Motion y Anime.js, una pantalla que informa el avance del pago y su resultado (éxito, lista de espera o rechazo por saldo insuficiente), la cancelación de reservas por parte del propietario con reembolso total, un historial de reservas canceladas separado por quién canceló y paneles de indicadores que se pueden ver por día, semana o mes. Junto con este informe se entregan el Manual de usuario y el Manual de instalación y despliegue.</w:t>
      </w:r>
    </w:p>
    <w:p>
      <w:pPr>
        <w:spacing w:after="140" w:line="260"/>
        <w:jc w:val="both"/>
      </w:pPr>
      <w:r>
        <w:rPr>
          <w:rFonts w:ascii="Arial" w:cs="Arial" w:eastAsia="Arial" w:hAnsi="Arial"/>
          <w:sz w:val="22"/>
          <w:szCs w:val="22"/>
        </w:rPr>
        <w:t xml:space="preserve">En el camino el proyecto enfrentó cambios relevantes respecto de la planificación inicial: la persistencia del prototipo se migró desde almacenamiento local del navegador a una base de datos PostgreSQL gestionada; la verificación de identidad automatizada mediante inteligencia artificial se reemplazó por una revisión manual por razones legales y de costo; se incorporó una billetera de tarjetas con Transbank Oneclick; y se agregó un sprint de mejoras de experiencia y gestión que no estaba en la línea base. Estos ajustes se registraron y justificaron en la carta Gantt.</w:t>
      </w:r>
    </w:p>
    <w:p>
      <w:pPr>
        <w:spacing w:after="140" w:line="260"/>
        <w:jc w:val="both"/>
      </w:pPr>
      <w:r>
        <w:rPr>
          <w:rFonts w:ascii="Arial" w:cs="Arial" w:eastAsia="Arial" w:hAnsi="Arial"/>
          <w:sz w:val="22"/>
          <w:szCs w:val="22"/>
        </w:rPr>
        <w:t xml:space="preserve">El presente informe documentó ese trabajo siguiendo la estructura de la Guía ABPro 2. La sección de Desarrollo se organizó en seis apartados: diseño de la solución; análisis y selección de tecnologías; selección y evaluación de proveedores; plataformas y prototipo; criterios de aceptación, estándares y buenas prácticas; y planificación del proyecto. El informe cierra con las conclusiones del equipo y las referencias utilizadas.</w:t>
      </w:r>
    </w:p>
    <w:p>
      <w:r>
        <w:br w:type="page"/>
      </w:r>
    </w:p>
    <w:p>
      <w:pPr>
        <w:pStyle w:val="Heading1"/>
        <w:spacing w:after="160" w:before="240"/>
      </w:pPr>
      <w:r>
        <w:rPr>
          <w:rFonts w:ascii="Arial" w:cs="Arial" w:eastAsia="Arial" w:hAnsi="Arial"/>
          <w:b/>
          <w:bCs/>
          <w:color w:val="1F3864"/>
          <w:sz w:val="28"/>
          <w:szCs w:val="28"/>
        </w:rPr>
        <w:t xml:space="preserve">II. Objetivos</w:t>
      </w:r>
    </w:p>
    <w:p>
      <w:pPr>
        <w:pStyle w:val="Heading2"/>
        <w:spacing w:after="120" w:before="220"/>
      </w:pPr>
      <w:r>
        <w:rPr>
          <w:rFonts w:ascii="Arial" w:cs="Arial" w:eastAsia="Arial" w:hAnsi="Arial"/>
          <w:b/>
          <w:bCs/>
          <w:color w:val="1F3864"/>
          <w:sz w:val="24"/>
          <w:szCs w:val="24"/>
        </w:rPr>
        <w:t xml:space="preserve">Objetivo general</w:t>
      </w:r>
    </w:p>
    <w:p>
      <w:pPr>
        <w:spacing w:after="140" w:line="260"/>
        <w:jc w:val="both"/>
      </w:pPr>
      <w:r>
        <w:rPr>
          <w:rFonts w:ascii="Arial" w:cs="Arial" w:eastAsia="Arial" w:hAnsi="Arial"/>
          <w:sz w:val="22"/>
          <w:szCs w:val="22"/>
        </w:rPr>
        <w:t xml:space="preserve">Desarrollar el diseño técnico y un prototipo funcional de Spotly, una plataforma web de arriendo temporal de espacios, seleccionando de manera fundamentada las tecnologías, proveedores y plataformas, y estableciendo los criterios de aceptación, estándares normativos y la planificación que aseguran una solución segura, de calidad y viable para el contexto chileno.</w:t>
      </w:r>
    </w:p>
    <w:p>
      <w:pPr>
        <w:pStyle w:val="Heading2"/>
        <w:spacing w:after="120" w:before="220"/>
      </w:pPr>
      <w:r>
        <w:rPr>
          <w:rFonts w:ascii="Arial" w:cs="Arial" w:eastAsia="Arial" w:hAnsi="Arial"/>
          <w:b/>
          <w:bCs/>
          <w:color w:val="1F3864"/>
          <w:sz w:val="24"/>
          <w:szCs w:val="24"/>
        </w:rPr>
        <w:t xml:space="preserve">Objetivos específicos</w:t>
      </w:r>
    </w:p>
    <w:p>
      <w:pPr>
        <w:pStyle w:val="ListParagraph"/>
        <w:numPr>
          <w:ilvl w:val="0"/>
          <w:numId w:val="2"/>
        </w:numPr>
        <w:spacing w:after="60" w:line="260"/>
        <w:jc w:val="both"/>
      </w:pPr>
      <w:r>
        <w:rPr>
          <w:rFonts w:ascii="Arial" w:cs="Arial" w:eastAsia="Arial" w:hAnsi="Arial"/>
          <w:sz w:val="22"/>
          <w:szCs w:val="22"/>
        </w:rPr>
        <w:t xml:space="preserve">Diseñar los diagramas de topología, infraestructura y arquitectura que describen los componentes de Spotly, sus conexiones y la distribución de responsabilidades entre capas.</w:t>
      </w:r>
    </w:p>
    <w:p>
      <w:pPr>
        <w:pStyle w:val="ListParagraph"/>
        <w:numPr>
          <w:ilvl w:val="0"/>
          <w:numId w:val="2"/>
        </w:numPr>
        <w:spacing w:after="60" w:line="260"/>
        <w:jc w:val="both"/>
      </w:pPr>
      <w:r>
        <w:rPr>
          <w:rFonts w:ascii="Arial" w:cs="Arial" w:eastAsia="Arial" w:hAnsi="Arial"/>
          <w:sz w:val="22"/>
          <w:szCs w:val="22"/>
        </w:rPr>
        <w:t xml:space="preserve">Analizar cualitativa y cuantitativamente las herramientas, lenguajes de programación, hardware y servicios TI candidatos, y seleccionar los más adecuados mediante matrices de decisión ponderadas.</w:t>
      </w:r>
    </w:p>
    <w:p>
      <w:pPr>
        <w:pStyle w:val="ListParagraph"/>
        <w:numPr>
          <w:ilvl w:val="0"/>
          <w:numId w:val="2"/>
        </w:numPr>
        <w:spacing w:after="60" w:line="260"/>
        <w:jc w:val="both"/>
      </w:pPr>
      <w:r>
        <w:rPr>
          <w:rFonts w:ascii="Arial" w:cs="Arial" w:eastAsia="Arial" w:hAnsi="Arial"/>
          <w:sz w:val="22"/>
          <w:szCs w:val="22"/>
        </w:rPr>
        <w:t xml:space="preserve">Seleccionar y evaluar a los proveedores de servicios (base de datos, hosting, pagos y control de versiones) considerando costo, seguridad, calidad, rendimiento y riesgo de dependencia.</w:t>
      </w:r>
    </w:p>
    <w:p>
      <w:pPr>
        <w:pStyle w:val="ListParagraph"/>
        <w:numPr>
          <w:ilvl w:val="0"/>
          <w:numId w:val="2"/>
        </w:numPr>
        <w:spacing w:after="60" w:line="260"/>
        <w:jc w:val="both"/>
      </w:pPr>
      <w:r>
        <w:rPr>
          <w:rFonts w:ascii="Arial" w:cs="Arial" w:eastAsia="Arial" w:hAnsi="Arial"/>
          <w:sz w:val="22"/>
          <w:szCs w:val="22"/>
        </w:rPr>
        <w:t xml:space="preserve">Seleccionar las plataformas de desarrollo y ejecución, y construir un prototipo que implemente los procesos y subprocesos principales del negocio.</w:t>
      </w:r>
    </w:p>
    <w:p>
      <w:pPr>
        <w:pStyle w:val="ListParagraph"/>
        <w:numPr>
          <w:ilvl w:val="0"/>
          <w:numId w:val="2"/>
        </w:numPr>
        <w:spacing w:after="60" w:line="260"/>
        <w:jc w:val="both"/>
      </w:pPr>
      <w:r>
        <w:rPr>
          <w:rFonts w:ascii="Arial" w:cs="Arial" w:eastAsia="Arial" w:hAnsi="Arial"/>
          <w:sz w:val="22"/>
          <w:szCs w:val="22"/>
        </w:rPr>
        <w:t xml:space="preserve">Definir criterios de aceptación verificables y alinear la solución con los estándares normativos y las buenas prácticas de rendimiento y seguridad aplicables.</w:t>
      </w:r>
    </w:p>
    <w:p>
      <w:pPr>
        <w:pStyle w:val="ListParagraph"/>
        <w:numPr>
          <w:ilvl w:val="0"/>
          <w:numId w:val="2"/>
        </w:numPr>
        <w:spacing w:after="60" w:line="260"/>
        <w:jc w:val="both"/>
      </w:pPr>
      <w:r>
        <w:rPr>
          <w:rFonts w:ascii="Arial" w:cs="Arial" w:eastAsia="Arial" w:hAnsi="Arial"/>
          <w:sz w:val="22"/>
          <w:szCs w:val="22"/>
        </w:rPr>
        <w:t xml:space="preserve">Elaborar, revisar y justificar la carta Gantt del proyecto, identificando desviaciones respecto de la línea base y las acciones de ajuste.</w:t>
      </w:r>
    </w:p>
    <w:p>
      <w:r>
        <w:br w:type="page"/>
      </w:r>
    </w:p>
    <w:p>
      <w:pPr>
        <w:pStyle w:val="Heading1"/>
        <w:spacing w:after="160" w:before="240"/>
      </w:pPr>
      <w:r>
        <w:rPr>
          <w:rFonts w:ascii="Arial" w:cs="Arial" w:eastAsia="Arial" w:hAnsi="Arial"/>
          <w:b/>
          <w:bCs/>
          <w:color w:val="1F3864"/>
          <w:sz w:val="28"/>
          <w:szCs w:val="28"/>
        </w:rPr>
        <w:t xml:space="preserve">III. Desarrollo</w:t>
      </w:r>
    </w:p>
    <w:p>
      <w:pPr>
        <w:pStyle w:val="Heading2"/>
        <w:spacing w:after="120" w:before="220"/>
      </w:pPr>
      <w:r>
        <w:rPr>
          <w:rFonts w:ascii="Arial" w:cs="Arial" w:eastAsia="Arial" w:hAnsi="Arial"/>
          <w:b/>
          <w:bCs/>
          <w:color w:val="1F3864"/>
          <w:sz w:val="24"/>
          <w:szCs w:val="24"/>
        </w:rPr>
        <w:t xml:space="preserve">1. Diseño de la solución: topología, infraestructura y arquitectura</w:t>
      </w:r>
    </w:p>
    <w:p>
      <w:pPr>
        <w:spacing w:after="140" w:line="260"/>
        <w:jc w:val="both"/>
      </w:pPr>
      <w:r>
        <w:rPr>
          <w:rFonts w:ascii="Arial" w:cs="Arial" w:eastAsia="Arial" w:hAnsi="Arial"/>
          <w:sz w:val="22"/>
          <w:szCs w:val="22"/>
        </w:rPr>
        <w:t xml:space="preserve">Spotly se diseña como una aplicación web de una sola página (SPA) desplegada en una red de distribución de contenidos, que consume servicios gestionados en la nube y funciones serverless para las operaciones sensibles. El diseño separa explícitamente lo que el navegador puede hacer con la llave pública (anon key) bajo políticas de seguridad a nivel de fila (RLS), de lo que solo el servidor puede hacer con credenciales privilegiadas (service_role y llaves de Transbank).</w:t>
      </w:r>
    </w:p>
    <w:p>
      <w:pPr>
        <w:pStyle w:val="Heading3"/>
        <w:spacing w:after="100" w:before="180"/>
      </w:pPr>
      <w:r>
        <w:rPr>
          <w:rFonts w:ascii="Arial" w:cs="Arial" w:eastAsia="Arial" w:hAnsi="Arial"/>
          <w:b/>
          <w:bCs/>
          <w:sz w:val="22"/>
          <w:szCs w:val="22"/>
        </w:rPr>
        <w:t xml:space="preserve">a) Diagrama de topología</w:t>
      </w:r>
    </w:p>
    <w:p>
      <w:pPr>
        <w:spacing w:after="140" w:line="260"/>
        <w:jc w:val="both"/>
      </w:pPr>
      <w:r>
        <w:rPr>
          <w:rFonts w:ascii="Arial" w:cs="Arial" w:eastAsia="Arial" w:hAnsi="Arial"/>
          <w:sz w:val="22"/>
          <w:szCs w:val="22"/>
        </w:rPr>
        <w:t xml:space="preserve">La topología describe los nodos de la solución y los canales de comunicación entre ellos. Se trata de una topología en estrella lógica centrada en Internet, con tres zonas: la zona de usuarios (navegadores), la zona de aplicación (Vercel) y la zona de datos (Supabase), más el proveedor externo de pagos (Transbank).</w:t>
      </w:r>
    </w:p>
    <w:p>
      <w:pPr>
        <w:keepNext/>
        <w:spacing w:after="0" w:before="160"/>
      </w:pPr>
      <w:r>
        <w:rPr>
          <w:rFonts w:ascii="Arial" w:cs="Arial" w:eastAsia="Arial" w:hAnsi="Arial"/>
          <w:b/>
          <w:bCs/>
          <w:sz w:val="20"/>
          <w:szCs w:val="20"/>
        </w:rPr>
        <w:t xml:space="preserve">Figura 1</w:t>
      </w:r>
    </w:p>
    <w:p>
      <w:pPr>
        <w:keepNext/>
        <w:spacing w:after="80"/>
      </w:pPr>
      <w:r>
        <w:rPr>
          <w:rFonts w:ascii="Arial" w:cs="Arial" w:eastAsia="Arial" w:hAnsi="Arial"/>
          <w:i/>
          <w:iCs/>
          <w:sz w:val="20"/>
          <w:szCs w:val="20"/>
        </w:rPr>
        <w:t xml:space="preserve">Diagrama de topología de red de Spotly</w:t>
      </w:r>
    </w:p>
    <w:p>
      <w:pPr>
        <w:keepNext/>
        <w:jc w:val="center"/>
      </w:pPr>
      <w:r>
        <w:drawing>
          <wp:inline distT="0" distB="0" distL="0" distR="0">
            <wp:extent cx="5905500" cy="1943100"/>
            <wp:effectExtent t="0" r="0" b="0" l="0"/>
            <wp:docPr id="1" name="topologia.png" descr="Diagrama de topología de red de Spotly" title="Diagrama de topología de red de Spot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943100"/>
                    </a:xfrm>
                    <a:prstGeom prst="rect">
                      <a:avLst/>
                    </a:prstGeom>
                  </pic:spPr>
                </pic:pic>
              </a:graphicData>
            </a:graphic>
          </wp:inline>
        </w:drawing>
      </w:r>
    </w:p>
    <w:p>
      <w:pPr>
        <w:spacing w:after="180" w:before="60"/>
      </w:pPr>
      <w:r>
        <w:rPr>
          <w:rFonts w:ascii="Arial" w:cs="Arial" w:eastAsia="Arial" w:hAnsi="Arial"/>
          <w:i/>
          <w:iCs/>
          <w:sz w:val="18"/>
          <w:szCs w:val="18"/>
        </w:rPr>
        <w:t xml:space="preserve">Nota. </w:t>
      </w:r>
      <w:r>
        <w:rPr>
          <w:rFonts w:ascii="Arial" w:cs="Arial" w:eastAsia="Arial" w:hAnsi="Arial"/>
          <w:sz w:val="18"/>
          <w:szCs w:val="18"/>
        </w:rPr>
        <w:t xml:space="preserve">Elaboración propia.</w:t>
      </w:r>
    </w:p>
    <w:p>
      <w:pPr>
        <w:spacing w:after="140" w:line="260"/>
        <w:jc w:val="both"/>
      </w:pPr>
      <w:r>
        <w:rPr>
          <w:rFonts w:ascii="Arial" w:cs="Arial" w:eastAsia="Arial" w:hAnsi="Arial"/>
          <w:sz w:val="22"/>
          <w:szCs w:val="22"/>
        </w:rPr>
        <w:t xml:space="preserve">Los flujos principales son los siguientes:</w:t>
      </w:r>
    </w:p>
    <w:p>
      <w:pPr>
        <w:pStyle w:val="ListParagraph"/>
        <w:numPr>
          <w:ilvl w:val="0"/>
          <w:numId w:val="3"/>
        </w:numPr>
        <w:spacing w:after="60" w:line="260"/>
        <w:jc w:val="both"/>
      </w:pPr>
      <w:r>
        <w:rPr>
          <w:rFonts w:ascii="Arial" w:cs="Arial" w:eastAsia="Arial" w:hAnsi="Arial"/>
          <w:b/>
          <w:bCs/>
          <w:sz w:val="22"/>
          <w:szCs w:val="22"/>
        </w:rPr>
        <w:t xml:space="preserve">Usuario → Vercel Edge (HTTPS 443):</w:t>
      </w:r>
      <w:r>
        <w:rPr>
          <w:rFonts w:ascii="Arial" w:cs="Arial" w:eastAsia="Arial" w:hAnsi="Arial"/>
          <w:sz w:val="22"/>
          <w:szCs w:val="22"/>
        </w:rPr>
        <w:t xml:space="preserve"> el navegador descarga la SPA desde el nodo de borde más cercano. La conexión usa TLS 1.2 o superior y cabeceras de seguridad (HSTS, X-Frame-Options DENY, X-Content-Type-Options nosniff, Referrer-Policy y Permissions-Policy).</w:t>
      </w:r>
    </w:p>
    <w:p>
      <w:pPr>
        <w:pStyle w:val="ListParagraph"/>
        <w:numPr>
          <w:ilvl w:val="0"/>
          <w:numId w:val="3"/>
        </w:numPr>
        <w:spacing w:after="60" w:line="260"/>
        <w:jc w:val="both"/>
      </w:pPr>
      <w:r>
        <w:rPr>
          <w:rFonts w:ascii="Arial" w:cs="Arial" w:eastAsia="Arial" w:hAnsi="Arial"/>
          <w:b/>
          <w:bCs/>
          <w:sz w:val="22"/>
          <w:szCs w:val="22"/>
        </w:rPr>
        <w:t xml:space="preserve">Usuario → Supabase (HTTPS/WSS):</w:t>
      </w:r>
      <w:r>
        <w:rPr>
          <w:rFonts w:ascii="Arial" w:cs="Arial" w:eastAsia="Arial" w:hAnsi="Arial"/>
          <w:sz w:val="22"/>
          <w:szCs w:val="22"/>
        </w:rPr>
        <w:t xml:space="preserve"> la SPA consulta directamente la API REST de PostgreSQL, Auth, Storage y Realtime usando el JWT del usuario. Cada consulta pasa por RLS, por lo que el usuario solo ve y modifica lo que le corresponde.</w:t>
      </w:r>
    </w:p>
    <w:p>
      <w:pPr>
        <w:pStyle w:val="ListParagraph"/>
        <w:numPr>
          <w:ilvl w:val="0"/>
          <w:numId w:val="3"/>
        </w:numPr>
        <w:spacing w:after="60" w:line="260"/>
        <w:jc w:val="both"/>
      </w:pPr>
      <w:r>
        <w:rPr>
          <w:rFonts w:ascii="Arial" w:cs="Arial" w:eastAsia="Arial" w:hAnsi="Arial"/>
          <w:b/>
          <w:bCs/>
          <w:sz w:val="22"/>
          <w:szCs w:val="22"/>
        </w:rPr>
        <w:t xml:space="preserve">Usuario → /api/* → Transbank / Supabase:</w:t>
      </w:r>
      <w:r>
        <w:rPr>
          <w:rFonts w:ascii="Arial" w:cs="Arial" w:eastAsia="Arial" w:hAnsi="Arial"/>
          <w:sz w:val="22"/>
          <w:szCs w:val="22"/>
        </w:rPr>
        <w:t xml:space="preserve"> las operaciones que requieren secretos (crear y confirmar pagos, inscribir tarjetas, reembolsos, inicio de sesión con bloqueo por intentos) pasan por funciones serverless, que son las únicas que conocen la llave service_role y las credenciales de comercio.</w:t>
      </w:r>
    </w:p>
    <w:p>
      <w:pPr>
        <w:pStyle w:val="ListParagraph"/>
        <w:numPr>
          <w:ilvl w:val="0"/>
          <w:numId w:val="3"/>
        </w:numPr>
        <w:spacing w:after="60" w:line="260"/>
        <w:jc w:val="both"/>
      </w:pPr>
      <w:r>
        <w:rPr>
          <w:rFonts w:ascii="Arial" w:cs="Arial" w:eastAsia="Arial" w:hAnsi="Arial"/>
          <w:b/>
          <w:bCs/>
          <w:sz w:val="22"/>
          <w:szCs w:val="22"/>
        </w:rPr>
        <w:t xml:space="preserve">Transbank → Usuario (redirección):</w:t>
      </w:r>
      <w:r>
        <w:rPr>
          <w:rFonts w:ascii="Arial" w:cs="Arial" w:eastAsia="Arial" w:hAnsi="Arial"/>
          <w:sz w:val="22"/>
          <w:szCs w:val="22"/>
        </w:rPr>
        <w:t xml:space="preserve"> tras el pago, Transbank redirige al navegador a la URL de retorno, y la función confirma (commit) la transacción del lado servidor antes de marcar la reserva como pagada.</w:t>
      </w:r>
    </w:p>
    <w:p>
      <w:pPr>
        <w:pStyle w:val="ListParagraph"/>
        <w:numPr>
          <w:ilvl w:val="0"/>
          <w:numId w:val="3"/>
        </w:numPr>
        <w:spacing w:after="60" w:line="260"/>
        <w:jc w:val="both"/>
      </w:pPr>
      <w:r>
        <w:rPr>
          <w:rFonts w:ascii="Arial" w:cs="Arial" w:eastAsia="Arial" w:hAnsi="Arial"/>
          <w:b/>
          <w:bCs/>
          <w:sz w:val="22"/>
          <w:szCs w:val="22"/>
        </w:rPr>
        <w:t xml:space="preserve">Vercel Cron → /api/health:</w:t>
      </w:r>
      <w:r>
        <w:rPr>
          <w:rFonts w:ascii="Arial" w:cs="Arial" w:eastAsia="Arial" w:hAnsi="Arial"/>
          <w:sz w:val="22"/>
          <w:szCs w:val="22"/>
        </w:rPr>
        <w:t xml:space="preserve"> una tarea diaria mantiene activo el proyecto de Supabase (el plan gratuito se pausa por inactividad) y verifica la salud del sistema.</w:t>
      </w:r>
    </w:p>
    <w:p>
      <w:pPr>
        <w:pStyle w:val="ListParagraph"/>
        <w:numPr>
          <w:ilvl w:val="0"/>
          <w:numId w:val="3"/>
        </w:numPr>
        <w:spacing w:after="60" w:line="260"/>
        <w:jc w:val="both"/>
      </w:pPr>
      <w:r>
        <w:rPr>
          <w:rFonts w:ascii="Arial" w:cs="Arial" w:eastAsia="Arial" w:hAnsi="Arial"/>
          <w:b/>
          <w:bCs/>
          <w:sz w:val="22"/>
          <w:szCs w:val="22"/>
        </w:rPr>
        <w:t xml:space="preserve">GitHub → Vercel:</w:t>
      </w:r>
      <w:r>
        <w:rPr>
          <w:rFonts w:ascii="Arial" w:cs="Arial" w:eastAsia="Arial" w:hAnsi="Arial"/>
          <w:sz w:val="22"/>
          <w:szCs w:val="22"/>
        </w:rPr>
        <w:t xml:space="preserve"> cada push a la rama principal ejecuta el pipeline de integración continua y despliega automáticamente.</w:t>
      </w:r>
    </w:p>
    <w:p>
      <w:pPr>
        <w:pStyle w:val="Heading3"/>
        <w:spacing w:after="100" w:before="180"/>
      </w:pPr>
      <w:r>
        <w:rPr>
          <w:rFonts w:ascii="Arial" w:cs="Arial" w:eastAsia="Arial" w:hAnsi="Arial"/>
          <w:b/>
          <w:bCs/>
          <w:sz w:val="22"/>
          <w:szCs w:val="22"/>
        </w:rPr>
        <w:t xml:space="preserve">b) Diagrama de infraestructura</w:t>
      </w:r>
    </w:p>
    <w:p>
      <w:pPr>
        <w:spacing w:after="140" w:line="260"/>
        <w:jc w:val="both"/>
      </w:pPr>
      <w:r>
        <w:rPr>
          <w:rFonts w:ascii="Arial" w:cs="Arial" w:eastAsia="Arial" w:hAnsi="Arial"/>
          <w:sz w:val="22"/>
          <w:szCs w:val="22"/>
        </w:rPr>
        <w:t xml:space="preserve">La infraestructura adopta un modelo 100 % nube y serverless: el equipo no administra servidores ni sistemas operativos, sino recursos gestionados que escalan por demanda. Esto reduce el costo inicial a cero en la fase de prototipo y traslada el parcheo, los respaldos y la alta disponibilidad a los proveedores.</w:t>
      </w:r>
    </w:p>
    <w:p>
      <w:pPr>
        <w:keepNext/>
        <w:spacing w:after="0" w:before="160"/>
      </w:pPr>
      <w:r>
        <w:rPr>
          <w:rFonts w:ascii="Arial" w:cs="Arial" w:eastAsia="Arial" w:hAnsi="Arial"/>
          <w:b/>
          <w:bCs/>
          <w:sz w:val="20"/>
          <w:szCs w:val="20"/>
        </w:rPr>
        <w:t xml:space="preserve">Figura 2</w:t>
      </w:r>
    </w:p>
    <w:p>
      <w:pPr>
        <w:keepNext/>
        <w:spacing w:after="80"/>
      </w:pPr>
      <w:r>
        <w:rPr>
          <w:rFonts w:ascii="Arial" w:cs="Arial" w:eastAsia="Arial" w:hAnsi="Arial"/>
          <w:i/>
          <w:iCs/>
          <w:sz w:val="20"/>
          <w:szCs w:val="20"/>
        </w:rPr>
        <w:t xml:space="preserve">Diagrama de infraestructura de Spotly (desarrollo, CI/CD, producción y datos)</w:t>
      </w:r>
    </w:p>
    <w:p>
      <w:pPr>
        <w:keepNext/>
        <w:jc w:val="center"/>
      </w:pPr>
      <w:r>
        <w:drawing>
          <wp:inline distT="0" distB="0" distL="0" distR="0">
            <wp:extent cx="5715000" cy="4133850"/>
            <wp:effectExtent t="0" r="0" b="0" l="0"/>
            <wp:docPr id="1" name="infraestructura.png" descr="Diagrama de infraestructura de Spotly (desarrollo, CI/CD, producción y datos)" title="Diagrama de infraestructura de Spotly (desarrollo, CI/CD, producción y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133850"/>
                    </a:xfrm>
                    <a:prstGeom prst="rect">
                      <a:avLst/>
                    </a:prstGeom>
                  </pic:spPr>
                </pic:pic>
              </a:graphicData>
            </a:graphic>
          </wp:inline>
        </w:drawing>
      </w:r>
    </w:p>
    <w:p>
      <w:pPr>
        <w:spacing w:after="180" w:before="60"/>
      </w:pPr>
      <w:r>
        <w:rPr>
          <w:rFonts w:ascii="Arial" w:cs="Arial" w:eastAsia="Arial" w:hAnsi="Arial"/>
          <w:i/>
          <w:iCs/>
          <w:sz w:val="18"/>
          <w:szCs w:val="18"/>
        </w:rPr>
        <w:t xml:space="preserve">Nota. </w:t>
      </w:r>
      <w:r>
        <w:rPr>
          <w:rFonts w:ascii="Arial" w:cs="Arial" w:eastAsia="Arial" w:hAnsi="Arial"/>
          <w:sz w:val="18"/>
          <w:szCs w:val="18"/>
        </w:rPr>
        <w:t xml:space="preserve">Elaboración propia.</w:t>
      </w:r>
    </w:p>
    <w:p>
      <w:pPr>
        <w:keepNext/>
        <w:spacing w:after="0" w:before="160"/>
      </w:pPr>
      <w:r>
        <w:rPr>
          <w:rFonts w:ascii="Arial" w:cs="Arial" w:eastAsia="Arial" w:hAnsi="Arial"/>
          <w:b/>
          <w:bCs/>
          <w:sz w:val="20"/>
          <w:szCs w:val="20"/>
        </w:rPr>
        <w:t xml:space="preserve">Tabla 1</w:t>
      </w:r>
    </w:p>
    <w:p>
      <w:pPr>
        <w:keepNext/>
        <w:spacing w:after="80"/>
      </w:pPr>
      <w:r>
        <w:rPr>
          <w:rFonts w:ascii="Arial" w:cs="Arial" w:eastAsia="Arial" w:hAnsi="Arial"/>
          <w:i/>
          <w:iCs/>
          <w:sz w:val="20"/>
          <w:szCs w:val="20"/>
        </w:rPr>
        <w:t xml:space="preserve">Recursos de infraestructura y su especificación</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505"/>
        <w:gridCol w:w="1881"/>
        <w:gridCol w:w="3010"/>
        <w:gridCol w:w="3010"/>
      </w:tblGrid>
      <w:tr>
        <w:trPr>
          <w:tblHeader/>
        </w:trPr>
        <w:tc>
          <w:tcPr>
            <w:tcW w:type="dxa" w:w="1505"/>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Recurso</w:t>
            </w:r>
          </w:p>
        </w:tc>
        <w:tc>
          <w:tcPr>
            <w:tcW w:type="dxa" w:w="1881"/>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Proveedor / servicio</w:t>
            </w:r>
          </w:p>
        </w:tc>
        <w:tc>
          <w:tcPr>
            <w:tcW w:type="dxa" w:w="301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Especificación</w:t>
            </w:r>
          </w:p>
        </w:tc>
        <w:tc>
          <w:tcPr>
            <w:tcW w:type="dxa" w:w="301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Función en Spotly</w:t>
            </w:r>
          </w:p>
        </w:tc>
      </w:tr>
      <w:tr>
        <w:trPr>
          <w:cantSplit/>
        </w:trPr>
        <w:tc>
          <w:tcPr>
            <w:tcW w:type="dxa" w:w="150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Hosting frontend</w:t>
            </w:r>
          </w:p>
        </w:tc>
        <w:tc>
          <w:tcPr>
            <w:tcW w:type="dxa" w:w="188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Vercel Edge Network</w:t>
            </w:r>
          </w:p>
        </w:tc>
        <w:tc>
          <w:tcPr>
            <w:tcW w:type="dxa" w:w="301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CDN global, TLS automático, compresión, caché inmutable de activos</w:t>
            </w:r>
          </w:p>
        </w:tc>
        <w:tc>
          <w:tcPr>
            <w:tcW w:type="dxa" w:w="301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Servir la SPA compilada (dist/) y aplicar cabeceras de seguridad</w:t>
            </w:r>
          </w:p>
        </w:tc>
      </w:tr>
      <w:tr>
        <w:trPr>
          <w:cantSplit/>
        </w:trPr>
        <w:tc>
          <w:tcPr>
            <w:tcW w:type="dxa" w:w="150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Cómputo backend</w:t>
            </w:r>
          </w:p>
        </w:tc>
        <w:tc>
          <w:tcPr>
            <w:tcW w:type="dxa" w:w="188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Vercel Functions (Node.js)</w:t>
            </w:r>
          </w:p>
        </w:tc>
        <w:tc>
          <w:tcPr>
            <w:tcW w:type="dxa" w:w="301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Ejecución bajo demanda, variables de entorno cifradas</w:t>
            </w:r>
          </w:p>
        </w:tc>
        <w:tc>
          <w:tcPr>
            <w:tcW w:type="dxa" w:w="301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webpay, wallet, auth, client-ip, health</w:t>
            </w:r>
          </w:p>
        </w:tc>
      </w:tr>
      <w:tr>
        <w:trPr>
          <w:cantSplit/>
        </w:trPr>
        <w:tc>
          <w:tcPr>
            <w:tcW w:type="dxa" w:w="150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Tareas programadas</w:t>
            </w:r>
          </w:p>
        </w:tc>
        <w:tc>
          <w:tcPr>
            <w:tcW w:type="dxa" w:w="188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Vercel Cron + pg_cron</w:t>
            </w:r>
          </w:p>
        </w:tc>
        <w:tc>
          <w:tcPr>
            <w:tcW w:type="dxa" w:w="301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Cron diario (Vercel) y cada 5 min (PostgreSQL)</w:t>
            </w:r>
          </w:p>
        </w:tc>
        <w:tc>
          <w:tcPr>
            <w:tcW w:type="dxa" w:w="301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Salud del sistema; expirar holds de pago y actualizar estados</w:t>
            </w:r>
          </w:p>
        </w:tc>
      </w:tr>
      <w:tr>
        <w:trPr>
          <w:cantSplit/>
        </w:trPr>
        <w:tc>
          <w:tcPr>
            <w:tcW w:type="dxa" w:w="150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Base de datos</w:t>
            </w:r>
          </w:p>
        </w:tc>
        <w:tc>
          <w:tcPr>
            <w:tcW w:type="dxa" w:w="188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Supabase PostgreSQL</w:t>
            </w:r>
          </w:p>
        </w:tc>
        <w:tc>
          <w:tcPr>
            <w:tcW w:type="dxa" w:w="301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Free 500 MB / Pro 8 GB; extensiones btree_gist, pg_trgm, pg_cron</w:t>
            </w:r>
          </w:p>
        </w:tc>
        <w:tc>
          <w:tcPr>
            <w:tcW w:type="dxa" w:w="301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Datos de dominio, reglas de negocio en triggers, RLS</w:t>
            </w:r>
          </w:p>
        </w:tc>
      </w:tr>
      <w:tr>
        <w:trPr>
          <w:cantSplit/>
        </w:trPr>
        <w:tc>
          <w:tcPr>
            <w:tcW w:type="dxa" w:w="150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Almacenamiento de objetos</w:t>
            </w:r>
          </w:p>
        </w:tc>
        <w:tc>
          <w:tcPr>
            <w:tcW w:type="dxa" w:w="188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Supabase Storage</w:t>
            </w:r>
          </w:p>
        </w:tc>
        <w:tc>
          <w:tcPr>
            <w:tcW w:type="dxa" w:w="301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Buckets: spaces (público); kyc-documents, kyc-biometrics, contracts (privados, URL firmadas de 1 h)</w:t>
            </w:r>
          </w:p>
        </w:tc>
        <w:tc>
          <w:tcPr>
            <w:tcW w:type="dxa" w:w="301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Fotos de espacios, documentos de identidad, contratos PDF</w:t>
            </w:r>
          </w:p>
        </w:tc>
      </w:tr>
      <w:tr>
        <w:trPr>
          <w:cantSplit/>
        </w:trPr>
        <w:tc>
          <w:tcPr>
            <w:tcW w:type="dxa" w:w="150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Autenticación</w:t>
            </w:r>
          </w:p>
        </w:tc>
        <w:tc>
          <w:tcPr>
            <w:tcW w:type="dxa" w:w="188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Supabase Auth</w:t>
            </w:r>
          </w:p>
        </w:tc>
        <w:tc>
          <w:tcPr>
            <w:tcW w:type="dxa" w:w="301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JWT, confirmación de correo, sesiones</w:t>
            </w:r>
          </w:p>
        </w:tc>
        <w:tc>
          <w:tcPr>
            <w:tcW w:type="dxa" w:w="301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Identidad de usuarios y roles</w:t>
            </w:r>
          </w:p>
        </w:tc>
      </w:tr>
      <w:tr>
        <w:trPr>
          <w:cantSplit/>
        </w:trPr>
        <w:tc>
          <w:tcPr>
            <w:tcW w:type="dxa" w:w="150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Tiempo real</w:t>
            </w:r>
          </w:p>
        </w:tc>
        <w:tc>
          <w:tcPr>
            <w:tcW w:type="dxa" w:w="188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Supabase Realtime</w:t>
            </w:r>
          </w:p>
        </w:tc>
        <w:tc>
          <w:tcPr>
            <w:tcW w:type="dxa" w:w="301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WebSocket seguro (WSS)</w:t>
            </w:r>
          </w:p>
        </w:tc>
        <w:tc>
          <w:tcPr>
            <w:tcW w:type="dxa" w:w="301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Notificaciones instantáneas</w:t>
            </w:r>
          </w:p>
        </w:tc>
      </w:tr>
      <w:tr>
        <w:trPr>
          <w:cantSplit/>
        </w:trPr>
        <w:tc>
          <w:tcPr>
            <w:tcW w:type="dxa" w:w="150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Pasarela de pago</w:t>
            </w:r>
          </w:p>
        </w:tc>
        <w:tc>
          <w:tcPr>
            <w:tcW w:type="dxa" w:w="188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Transbank</w:t>
            </w:r>
          </w:p>
        </w:tc>
        <w:tc>
          <w:tcPr>
            <w:tcW w:type="dxa" w:w="301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Webpay Plus y Oneclick Mall (API REST)</w:t>
            </w:r>
          </w:p>
        </w:tc>
        <w:tc>
          <w:tcPr>
            <w:tcW w:type="dxa" w:w="301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Cobros, tokenización de tarjetas y reembolsos</w:t>
            </w:r>
          </w:p>
        </w:tc>
      </w:tr>
      <w:tr>
        <w:trPr>
          <w:cantSplit/>
        </w:trPr>
        <w:tc>
          <w:tcPr>
            <w:tcW w:type="dxa" w:w="150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Repositorio y CI/CD</w:t>
            </w:r>
          </w:p>
        </w:tc>
        <w:tc>
          <w:tcPr>
            <w:tcW w:type="dxa" w:w="188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GitHub + GitHub Actions</w:t>
            </w:r>
          </w:p>
        </w:tc>
        <w:tc>
          <w:tcPr>
            <w:tcW w:type="dxa" w:w="301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Revisión de tipos (tsc), 61 pruebas (Vitest), build (Vite) y demo en GitHub Pages</w:t>
            </w:r>
          </w:p>
        </w:tc>
        <w:tc>
          <w:tcPr>
            <w:tcW w:type="dxa" w:w="301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Control de versiones y despliegue continuo</w:t>
            </w:r>
          </w:p>
        </w:tc>
      </w:tr>
      <w:tr>
        <w:trPr>
          <w:cantSplit/>
        </w:trPr>
        <w:tc>
          <w:tcPr>
            <w:tcW w:type="dxa" w:w="150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Estaciones de desarrollo</w:t>
            </w:r>
          </w:p>
        </w:tc>
        <w:tc>
          <w:tcPr>
            <w:tcW w:type="dxa" w:w="188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Notebooks del equipo</w:t>
            </w:r>
          </w:p>
        </w:tc>
        <w:tc>
          <w:tcPr>
            <w:tcW w:type="dxa" w:w="301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CPU 4+ núcleos, 8–16 GB RAM, SSD, Node.js 20 LTS</w:t>
            </w:r>
          </w:p>
        </w:tc>
        <w:tc>
          <w:tcPr>
            <w:tcW w:type="dxa" w:w="301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Desarrollo local y pruebas</w:t>
            </w:r>
          </w:p>
        </w:tc>
      </w:tr>
    </w:tbl>
    <w:p>
      <w:pPr>
        <w:spacing w:after="180" w:before="60"/>
      </w:pPr>
      <w:r>
        <w:rPr>
          <w:rFonts w:ascii="Arial" w:cs="Arial" w:eastAsia="Arial" w:hAnsi="Arial"/>
          <w:i/>
          <w:iCs/>
          <w:sz w:val="18"/>
          <w:szCs w:val="18"/>
        </w:rPr>
        <w:t xml:space="preserve">Nota. </w:t>
      </w:r>
      <w:r>
        <w:rPr>
          <w:rFonts w:ascii="Arial" w:cs="Arial" w:eastAsia="Arial" w:hAnsi="Arial"/>
          <w:sz w:val="18"/>
          <w:szCs w:val="18"/>
        </w:rPr>
        <w:t xml:space="preserve">La región sugerida para Supabase es sa-east-1 (São Paulo), la más cercana a Chile entre las disponibles, lo que reduce la latencia de cada consulta.</w:t>
      </w:r>
    </w:p>
    <w:p>
      <w:pPr>
        <w:pStyle w:val="Heading3"/>
        <w:spacing w:after="100" w:before="180"/>
      </w:pPr>
      <w:r>
        <w:rPr>
          <w:rFonts w:ascii="Arial" w:cs="Arial" w:eastAsia="Arial" w:hAnsi="Arial"/>
          <w:b/>
          <w:bCs/>
          <w:sz w:val="22"/>
          <w:szCs w:val="22"/>
        </w:rPr>
        <w:t xml:space="preserve">c) Diagrama de arquitectura</w:t>
      </w:r>
    </w:p>
    <w:p>
      <w:pPr>
        <w:spacing w:after="140" w:line="260"/>
        <w:jc w:val="both"/>
      </w:pPr>
      <w:r>
        <w:rPr>
          <w:rFonts w:ascii="Arial" w:cs="Arial" w:eastAsia="Arial" w:hAnsi="Arial"/>
          <w:sz w:val="22"/>
          <w:szCs w:val="22"/>
        </w:rPr>
        <w:t xml:space="preserve">La arquitectura de software sigue un estilo en capas con un backend como servicio (BaaS) y funciones serverless. La lógica de negocio crítica se implementa dos veces de forma coherente: en el cliente, para dar una respuesta inmediata al usuario (por ejemplo, calcular el precio), y en la base de datos, mediante triggers de guarda que validan lo mismo, de modo que un usuario que manipule el navegador no puede alterar montos, fechas ni estados.</w:t>
      </w:r>
    </w:p>
    <w:p>
      <w:pPr>
        <w:keepNext/>
        <w:spacing w:after="0" w:before="160"/>
      </w:pPr>
      <w:r>
        <w:rPr>
          <w:rFonts w:ascii="Arial" w:cs="Arial" w:eastAsia="Arial" w:hAnsi="Arial"/>
          <w:b/>
          <w:bCs/>
          <w:sz w:val="20"/>
          <w:szCs w:val="20"/>
        </w:rPr>
        <w:t xml:space="preserve">Figura 3</w:t>
      </w:r>
    </w:p>
    <w:p>
      <w:pPr>
        <w:keepNext/>
        <w:spacing w:after="80"/>
      </w:pPr>
      <w:r>
        <w:rPr>
          <w:rFonts w:ascii="Arial" w:cs="Arial" w:eastAsia="Arial" w:hAnsi="Arial"/>
          <w:i/>
          <w:iCs/>
          <w:sz w:val="20"/>
          <w:szCs w:val="20"/>
        </w:rPr>
        <w:t xml:space="preserve">Arquitectura lógica por capas de Spotly</w:t>
      </w:r>
    </w:p>
    <w:p>
      <w:pPr>
        <w:keepNext/>
        <w:jc w:val="center"/>
      </w:pPr>
      <w:r>
        <w:drawing>
          <wp:inline distT="0" distB="0" distL="0" distR="0">
            <wp:extent cx="5905500" cy="2733675"/>
            <wp:effectExtent t="0" r="0" b="0" l="0"/>
            <wp:docPr id="1" name="arquitectura.png" descr="Arquitectura lógica por capas de Spotly" title="Arquitectura lógica por capas de Spot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733675"/>
                    </a:xfrm>
                    <a:prstGeom prst="rect">
                      <a:avLst/>
                    </a:prstGeom>
                  </pic:spPr>
                </pic:pic>
              </a:graphicData>
            </a:graphic>
          </wp:inline>
        </w:drawing>
      </w:r>
    </w:p>
    <w:p>
      <w:pPr>
        <w:spacing w:after="180" w:before="60"/>
      </w:pPr>
      <w:r>
        <w:rPr>
          <w:rFonts w:ascii="Arial" w:cs="Arial" w:eastAsia="Arial" w:hAnsi="Arial"/>
          <w:i/>
          <w:iCs/>
          <w:sz w:val="18"/>
          <w:szCs w:val="18"/>
        </w:rPr>
        <w:t xml:space="preserve">Nota. </w:t>
      </w:r>
      <w:r>
        <w:rPr>
          <w:rFonts w:ascii="Arial" w:cs="Arial" w:eastAsia="Arial" w:hAnsi="Arial"/>
          <w:sz w:val="18"/>
          <w:szCs w:val="18"/>
        </w:rPr>
        <w:t xml:space="preserve">Elaboración propia.</w:t>
      </w:r>
    </w:p>
    <w:p>
      <w:pPr>
        <w:keepNext/>
        <w:spacing w:after="0" w:before="160"/>
      </w:pPr>
      <w:r>
        <w:rPr>
          <w:rFonts w:ascii="Arial" w:cs="Arial" w:eastAsia="Arial" w:hAnsi="Arial"/>
          <w:b/>
          <w:bCs/>
          <w:sz w:val="20"/>
          <w:szCs w:val="20"/>
        </w:rPr>
        <w:t xml:space="preserve">Tabla 2</w:t>
      </w:r>
    </w:p>
    <w:p>
      <w:pPr>
        <w:keepNext/>
        <w:spacing w:after="80"/>
      </w:pPr>
      <w:r>
        <w:rPr>
          <w:rFonts w:ascii="Arial" w:cs="Arial" w:eastAsia="Arial" w:hAnsi="Arial"/>
          <w:i/>
          <w:iCs/>
          <w:sz w:val="20"/>
          <w:szCs w:val="20"/>
        </w:rPr>
        <w:t xml:space="preserve">Responsabilidades por capa de la arquitectura</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693"/>
        <w:gridCol w:w="3762"/>
        <w:gridCol w:w="3951"/>
      </w:tblGrid>
      <w:tr>
        <w:trPr>
          <w:tblHeader/>
        </w:trPr>
        <w:tc>
          <w:tcPr>
            <w:tcW w:type="dxa" w:w="1693"/>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Capa</w:t>
            </w:r>
          </w:p>
        </w:tc>
        <w:tc>
          <w:tcPr>
            <w:tcW w:type="dxa" w:w="3762"/>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Componentes</w:t>
            </w:r>
          </w:p>
        </w:tc>
        <w:tc>
          <w:tcPr>
            <w:tcW w:type="dxa" w:w="3951"/>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Responsabilidad</w:t>
            </w:r>
          </w:p>
        </w:tc>
      </w:tr>
      <w:tr>
        <w:trPr>
          <w:cantSplit/>
        </w:trPr>
        <w:tc>
          <w:tcPr>
            <w:tcW w:type="dxa" w:w="169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1. Presentación</w:t>
            </w:r>
          </w:p>
        </w:tc>
        <w:tc>
          <w:tcPr>
            <w:tcW w:type="dxa" w:w="3762"/>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Páginas con carga diferida (lazy), componentes UI, React Router 7 (BrowserRouter), animaciones con Motion y Anime.js</w:t>
            </w:r>
          </w:p>
        </w:tc>
        <w:tc>
          <w:tcPr>
            <w:tcW w:type="dxa" w:w="395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Interfaz, navegación, validación de formularios, accesibilidad</w:t>
            </w:r>
          </w:p>
        </w:tc>
      </w:tr>
      <w:tr>
        <w:trPr>
          <w:cantSplit/>
        </w:trPr>
        <w:tc>
          <w:tcPr>
            <w:tcW w:type="dxa" w:w="169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2. Aplicación</w:t>
            </w:r>
          </w:p>
        </w:tc>
        <w:tc>
          <w:tcPr>
            <w:tcW w:type="dxa" w:w="3762"/>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AppContext, hooks (useSpaceReservations, useAutoCarousel, useChileNow), utils (pricing, refundPolicy, contractHash, availability, kpi, reports, cancellations)</w:t>
            </w:r>
          </w:p>
        </w:tc>
        <w:tc>
          <w:tcPr>
            <w:tcW w:type="dxa" w:w="395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Estado de sesión y reglas de dominio para respuesta inmediata</w:t>
            </w:r>
          </w:p>
        </w:tc>
      </w:tr>
      <w:tr>
        <w:trPr>
          <w:cantSplit/>
        </w:trPr>
        <w:tc>
          <w:tcPr>
            <w:tcW w:type="dxa" w:w="169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3. Integración</w:t>
            </w:r>
          </w:p>
        </w:tc>
        <w:tc>
          <w:tcPr>
            <w:tcW w:type="dxa" w:w="3762"/>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lib/supabase, dataAccess, services/api</w:t>
            </w:r>
          </w:p>
        </w:tc>
        <w:tc>
          <w:tcPr>
            <w:tcW w:type="dxa" w:w="395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Acceso tipado a datos y llamadas a la API propia</w:t>
            </w:r>
          </w:p>
        </w:tc>
      </w:tr>
      <w:tr>
        <w:trPr>
          <w:cantSplit/>
        </w:trPr>
        <w:tc>
          <w:tcPr>
            <w:tcW w:type="dxa" w:w="169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4. Servicios backend</w:t>
            </w:r>
          </w:p>
        </w:tc>
        <w:tc>
          <w:tcPr>
            <w:tcW w:type="dxa" w:w="3762"/>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Funciones /api/* en Vercel</w:t>
            </w:r>
          </w:p>
        </w:tc>
        <w:tc>
          <w:tcPr>
            <w:tcW w:type="dxa" w:w="395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Operaciones con secretos: pagos, billetera, login con bloqueo</w:t>
            </w:r>
          </w:p>
        </w:tc>
      </w:tr>
      <w:tr>
        <w:trPr>
          <w:cantSplit/>
        </w:trPr>
        <w:tc>
          <w:tcPr>
            <w:tcW w:type="dxa" w:w="169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5. Datos y seguridad</w:t>
            </w:r>
          </w:p>
        </w:tc>
        <w:tc>
          <w:tcPr>
            <w:tcW w:type="dxa" w:w="3762"/>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PostgreSQL con RLS, triggers, funciones SECURITY DEFINER, pg_cron, auditoría</w:t>
            </w:r>
          </w:p>
        </w:tc>
        <w:tc>
          <w:tcPr>
            <w:tcW w:type="dxa" w:w="395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Integridad, autorización fina, reglas de negocio no eludibles, trazabilidad</w:t>
            </w:r>
          </w:p>
        </w:tc>
      </w:tr>
    </w:tbl>
    <w:p>
      <w:pPr>
        <w:spacing w:after="140" w:line="260"/>
        <w:jc w:val="both"/>
      </w:pPr>
      <w:r>
        <w:rPr>
          <w:rFonts w:ascii="Arial" w:cs="Arial" w:eastAsia="Arial" w:hAnsi="Arial"/>
          <w:sz w:val="22"/>
          <w:szCs w:val="22"/>
        </w:rPr>
        <w:t xml:space="preserve">A nivel funcional, el sistema se divide en nueve módulos que comparten el núcleo de dominio (usuarios, espacios y reservas):</w:t>
      </w:r>
    </w:p>
    <w:p>
      <w:pPr>
        <w:keepNext/>
        <w:spacing w:after="0" w:before="160"/>
      </w:pPr>
      <w:r>
        <w:rPr>
          <w:rFonts w:ascii="Arial" w:cs="Arial" w:eastAsia="Arial" w:hAnsi="Arial"/>
          <w:b/>
          <w:bCs/>
          <w:sz w:val="20"/>
          <w:szCs w:val="20"/>
        </w:rPr>
        <w:t xml:space="preserve">Figura 4</w:t>
      </w:r>
    </w:p>
    <w:p>
      <w:pPr>
        <w:keepNext/>
        <w:spacing w:after="80"/>
      </w:pPr>
      <w:r>
        <w:rPr>
          <w:rFonts w:ascii="Arial" w:cs="Arial" w:eastAsia="Arial" w:hAnsi="Arial"/>
          <w:i/>
          <w:iCs/>
          <w:sz w:val="20"/>
          <w:szCs w:val="20"/>
        </w:rPr>
        <w:t xml:space="preserve">Módulos funcionales de Spotly</w:t>
      </w:r>
    </w:p>
    <w:p>
      <w:pPr>
        <w:keepNext/>
        <w:jc w:val="center"/>
      </w:pPr>
      <w:r>
        <w:drawing>
          <wp:inline distT="0" distB="0" distL="0" distR="0">
            <wp:extent cx="4953000" cy="2333625"/>
            <wp:effectExtent t="0" r="0" b="0" l="0"/>
            <wp:docPr id="1" name="modulos.png" descr="Módulos funcionales de Spotly" title="Módulos funcionales de Spot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333625"/>
                    </a:xfrm>
                    <a:prstGeom prst="rect">
                      <a:avLst/>
                    </a:prstGeom>
                  </pic:spPr>
                </pic:pic>
              </a:graphicData>
            </a:graphic>
          </wp:inline>
        </w:drawing>
      </w:r>
    </w:p>
    <w:p>
      <w:pPr>
        <w:spacing w:after="180" w:before="60"/>
      </w:pPr>
      <w:r>
        <w:rPr>
          <w:rFonts w:ascii="Arial" w:cs="Arial" w:eastAsia="Arial" w:hAnsi="Arial"/>
          <w:i/>
          <w:iCs/>
          <w:sz w:val="18"/>
          <w:szCs w:val="18"/>
        </w:rPr>
        <w:t xml:space="preserve">Nota. </w:t>
      </w:r>
      <w:r>
        <w:rPr>
          <w:rFonts w:ascii="Arial" w:cs="Arial" w:eastAsia="Arial" w:hAnsi="Arial"/>
          <w:sz w:val="18"/>
          <w:szCs w:val="18"/>
        </w:rPr>
        <w:t xml:space="preserve">Elaboración propia.</w:t>
      </w:r>
    </w:p>
    <w:p>
      <w:pPr>
        <w:pStyle w:val="Heading2"/>
        <w:spacing w:after="120" w:before="220"/>
      </w:pPr>
      <w:r>
        <w:rPr>
          <w:rFonts w:ascii="Arial" w:cs="Arial" w:eastAsia="Arial" w:hAnsi="Arial"/>
          <w:b/>
          <w:bCs/>
          <w:color w:val="1F3864"/>
          <w:sz w:val="24"/>
          <w:szCs w:val="24"/>
        </w:rPr>
        <w:t xml:space="preserve">2. Análisis y selección de herramientas, lenguajes, hardware y servicios TI</w:t>
      </w:r>
    </w:p>
    <w:p>
      <w:pPr>
        <w:pStyle w:val="Heading3"/>
        <w:spacing w:after="100" w:before="180"/>
      </w:pPr>
      <w:r>
        <w:rPr>
          <w:rFonts w:ascii="Arial" w:cs="Arial" w:eastAsia="Arial" w:hAnsi="Arial"/>
          <w:b/>
          <w:bCs/>
          <w:sz w:val="22"/>
          <w:szCs w:val="22"/>
        </w:rPr>
        <w:t xml:space="preserve">a) Metodología de evaluación</w:t>
      </w:r>
    </w:p>
    <w:p>
      <w:pPr>
        <w:spacing w:after="140" w:line="260"/>
        <w:jc w:val="both"/>
      </w:pPr>
      <w:r>
        <w:rPr>
          <w:rFonts w:ascii="Arial" w:cs="Arial" w:eastAsia="Arial" w:hAnsi="Arial"/>
          <w:sz w:val="22"/>
          <w:szCs w:val="22"/>
        </w:rPr>
        <w:t xml:space="preserve">Para cada categoría tecnológica se identificaron al menos dos alternativas viables y se aplicaron dos análisis complementarios. El </w:t>
      </w:r>
      <w:r>
        <w:rPr>
          <w:rFonts w:ascii="Arial" w:cs="Arial" w:eastAsia="Arial" w:hAnsi="Arial"/>
          <w:b/>
          <w:bCs/>
          <w:sz w:val="22"/>
          <w:szCs w:val="22"/>
        </w:rPr>
        <w:t xml:space="preserve">análisis cualitativo</w:t>
      </w:r>
      <w:r>
        <w:rPr>
          <w:rFonts w:ascii="Arial" w:cs="Arial" w:eastAsia="Arial" w:hAnsi="Arial"/>
          <w:sz w:val="22"/>
          <w:szCs w:val="22"/>
        </w:rPr>
        <w:t xml:space="preserve"> describe fortalezas, debilidades y riesgos de cada alternativa en el contexto de Spotly. El </w:t>
      </w:r>
      <w:r>
        <w:rPr>
          <w:rFonts w:ascii="Arial" w:cs="Arial" w:eastAsia="Arial" w:hAnsi="Arial"/>
          <w:b/>
          <w:bCs/>
          <w:sz w:val="22"/>
          <w:szCs w:val="22"/>
        </w:rPr>
        <w:t xml:space="preserve">análisis cuantitativo</w:t>
      </w:r>
      <w:r>
        <w:rPr>
          <w:rFonts w:ascii="Arial" w:cs="Arial" w:eastAsia="Arial" w:hAnsi="Arial"/>
          <w:sz w:val="22"/>
          <w:szCs w:val="22"/>
        </w:rPr>
        <w:t xml:space="preserve"> usa una matriz de decisión ponderada: cada criterio recibe un peso (suma 100 %) según su importancia para el proyecto, cada alternativa se califica de 1 (muy deficiente) a 5 (excelente), y el puntaje ponderado es la suma de calificación × peso. Se elige la alternativa de mayor puntaje, siempre que no tenga una calificación 1 en un criterio crítico (seguridad o modelo de datos).</w:t>
      </w:r>
    </w:p>
    <w:p>
      <w:pPr>
        <w:spacing w:after="140" w:line="260"/>
        <w:jc w:val="both"/>
      </w:pPr>
      <w:r>
        <w:rPr>
          <w:rFonts w:ascii="Arial" w:cs="Arial" w:eastAsia="Arial" w:hAnsi="Arial"/>
          <w:sz w:val="22"/>
          <w:szCs w:val="22"/>
        </w:rPr>
        <w:t xml:space="preserve">Los pesos se definieron a partir de las restricciones del proyecto: equipo pequeño con experiencia en JavaScript, presupuesto cero en la fase académica, plazo de un semestre, manejo de datos personales y de pago (alta exigencia de seguridad) y operación en Chile.</w:t>
      </w:r>
    </w:p>
    <w:p>
      <w:pPr>
        <w:pStyle w:val="Heading3"/>
        <w:spacing w:after="100" w:before="180"/>
      </w:pPr>
      <w:r>
        <w:rPr>
          <w:rFonts w:ascii="Arial" w:cs="Arial" w:eastAsia="Arial" w:hAnsi="Arial"/>
          <w:b/>
          <w:bCs/>
          <w:sz w:val="22"/>
          <w:szCs w:val="22"/>
        </w:rPr>
        <w:t xml:space="preserve">b) Análisis cualitativo</w:t>
      </w:r>
    </w:p>
    <w:p>
      <w:pPr>
        <w:keepNext/>
        <w:spacing w:after="0" w:before="160"/>
      </w:pPr>
      <w:r>
        <w:rPr>
          <w:rFonts w:ascii="Arial" w:cs="Arial" w:eastAsia="Arial" w:hAnsi="Arial"/>
          <w:b/>
          <w:bCs/>
          <w:sz w:val="20"/>
          <w:szCs w:val="20"/>
        </w:rPr>
        <w:t xml:space="preserve">Tabla 3</w:t>
      </w:r>
    </w:p>
    <w:p>
      <w:pPr>
        <w:keepNext/>
        <w:spacing w:after="80"/>
      </w:pPr>
      <w:r>
        <w:rPr>
          <w:rFonts w:ascii="Arial" w:cs="Arial" w:eastAsia="Arial" w:hAnsi="Arial"/>
          <w:i/>
          <w:iCs/>
          <w:sz w:val="20"/>
          <w:szCs w:val="20"/>
        </w:rPr>
        <w:t xml:space="preserve">Análisis cualitativo de las alternativas tecnológicas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317"/>
        <w:gridCol w:w="1505"/>
        <w:gridCol w:w="3480"/>
        <w:gridCol w:w="3104"/>
      </w:tblGrid>
      <w:tr>
        <w:trPr>
          <w:tblHeader/>
        </w:trPr>
        <w:tc>
          <w:tcPr>
            <w:tcW w:type="dxa" w:w="1317"/>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Categoría</w:t>
            </w:r>
          </w:p>
        </w:tc>
        <w:tc>
          <w:tcPr>
            <w:tcW w:type="dxa" w:w="1505"/>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Alternativa</w:t>
            </w:r>
          </w:p>
        </w:tc>
        <w:tc>
          <w:tcPr>
            <w:tcW w:type="dxa" w:w="348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Fortalezas</w:t>
            </w:r>
          </w:p>
        </w:tc>
        <w:tc>
          <w:tcPr>
            <w:tcW w:type="dxa" w:w="3104"/>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Debilidades / riesgos</w:t>
            </w:r>
          </w:p>
        </w:tc>
      </w:tr>
      <w:tr>
        <w:trPr>
          <w:cantSplit/>
        </w:trPr>
        <w:tc>
          <w:tcPr>
            <w:tcW w:type="dxa" w:w="1317"/>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Frontend</w:t>
            </w:r>
          </w:p>
        </w:tc>
        <w:tc>
          <w:tcPr>
            <w:tcW w:type="dxa" w:w="150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React 19</w:t>
            </w:r>
          </w:p>
        </w:tc>
        <w:tc>
          <w:tcPr>
            <w:tcW w:type="dxa" w:w="348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Ecosistema más amplio; el equipo ya lo conoce; componentes reutilizables; carga diferida</w:t>
            </w:r>
          </w:p>
        </w:tc>
        <w:tc>
          <w:tcPr>
            <w:tcW w:type="dxa" w:w="3104"/>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Requiere elegir librerías complementarias (router, estado)</w:t>
            </w:r>
          </w:p>
        </w:tc>
      </w:tr>
      <w:tr>
        <w:trPr>
          <w:cantSplit/>
        </w:trPr>
        <w:tc>
          <w:tcPr>
            <w:tcW w:type="dxa" w:w="1317"/>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p>
        </w:tc>
        <w:tc>
          <w:tcPr>
            <w:tcW w:type="dxa" w:w="150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Angular</w:t>
            </w:r>
          </w:p>
        </w:tc>
        <w:tc>
          <w:tcPr>
            <w:tcW w:type="dxa" w:w="348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Framework completo y opinado; TypeScript nativo</w:t>
            </w:r>
          </w:p>
        </w:tc>
        <w:tc>
          <w:tcPr>
            <w:tcW w:type="dxa" w:w="3104"/>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Curva de aprendizaje alta; más código repetitivo para un MVP</w:t>
            </w:r>
          </w:p>
        </w:tc>
      </w:tr>
      <w:tr>
        <w:trPr>
          <w:cantSplit/>
        </w:trPr>
        <w:tc>
          <w:tcPr>
            <w:tcW w:type="dxa" w:w="1317"/>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p>
        </w:tc>
        <w:tc>
          <w:tcPr>
            <w:tcW w:type="dxa" w:w="150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Vue 3</w:t>
            </w:r>
          </w:p>
        </w:tc>
        <w:tc>
          <w:tcPr>
            <w:tcW w:type="dxa" w:w="348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Simple y liviano; buen rendimiento</w:t>
            </w:r>
          </w:p>
        </w:tc>
        <w:tc>
          <w:tcPr>
            <w:tcW w:type="dxa" w:w="3104"/>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Menor experiencia del equipo; ecosistema menor en Chile</w:t>
            </w:r>
          </w:p>
        </w:tc>
      </w:tr>
      <w:tr>
        <w:trPr>
          <w:cantSplit/>
        </w:trPr>
        <w:tc>
          <w:tcPr>
            <w:tcW w:type="dxa" w:w="1317"/>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Backend / BaaS</w:t>
            </w:r>
          </w:p>
        </w:tc>
        <w:tc>
          <w:tcPr>
            <w:tcW w:type="dxa" w:w="150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Supabase</w:t>
            </w:r>
          </w:p>
        </w:tc>
        <w:tc>
          <w:tcPr>
            <w:tcW w:type="dxa" w:w="348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PostgreSQL real, Auth, Storage, Realtime y RLS integrados; plan gratuito; región São Paulo</w:t>
            </w:r>
          </w:p>
        </w:tc>
        <w:tc>
          <w:tcPr>
            <w:tcW w:type="dxa" w:w="3104"/>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Plan gratuito se pausa por inactividad; dependencia parcial del proveedor</w:t>
            </w:r>
          </w:p>
        </w:tc>
      </w:tr>
      <w:tr>
        <w:trPr>
          <w:cantSplit/>
        </w:trPr>
        <w:tc>
          <w:tcPr>
            <w:tcW w:type="dxa" w:w="1317"/>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p>
        </w:tc>
        <w:tc>
          <w:tcPr>
            <w:tcW w:type="dxa" w:w="150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Firebase</w:t>
            </w:r>
          </w:p>
        </w:tc>
        <w:tc>
          <w:tcPr>
            <w:tcW w:type="dxa" w:w="348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Muy rápido para prototipar; SDK maduro</w:t>
            </w:r>
          </w:p>
        </w:tc>
        <w:tc>
          <w:tcPr>
            <w:tcW w:type="dxa" w:w="3104"/>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Base NoSQL: difícil garantizar no solapamiento de reservas e integridad referencial</w:t>
            </w:r>
          </w:p>
        </w:tc>
      </w:tr>
      <w:tr>
        <w:trPr>
          <w:cantSplit/>
        </w:trPr>
        <w:tc>
          <w:tcPr>
            <w:tcW w:type="dxa" w:w="1317"/>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p>
        </w:tc>
        <w:tc>
          <w:tcPr>
            <w:tcW w:type="dxa" w:w="150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Node/Express + AWS RDS</w:t>
            </w:r>
          </w:p>
        </w:tc>
        <w:tc>
          <w:tcPr>
            <w:tcW w:type="dxa" w:w="348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Control total; sin lock-in</w:t>
            </w:r>
          </w:p>
        </w:tc>
        <w:tc>
          <w:tcPr>
            <w:tcW w:type="dxa" w:w="3104"/>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Más infraestructura que operar; mayor costo y tiempo</w:t>
            </w:r>
          </w:p>
        </w:tc>
      </w:tr>
      <w:tr>
        <w:trPr>
          <w:cantSplit/>
        </w:trPr>
        <w:tc>
          <w:tcPr>
            <w:tcW w:type="dxa" w:w="1317"/>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Base de datos</w:t>
            </w:r>
          </w:p>
        </w:tc>
        <w:tc>
          <w:tcPr>
            <w:tcW w:type="dxa" w:w="150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PostgreSQL</w:t>
            </w:r>
          </w:p>
        </w:tc>
        <w:tc>
          <w:tcPr>
            <w:tcW w:type="dxa" w:w="348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ACID, restricciones de exclusión con rangos de tiempo, RLS, búsqueda trigram</w:t>
            </w:r>
          </w:p>
        </w:tc>
        <w:tc>
          <w:tcPr>
            <w:tcW w:type="dxa" w:w="3104"/>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Requiere diseño cuidadoso de políticas</w:t>
            </w:r>
          </w:p>
        </w:tc>
      </w:tr>
      <w:tr>
        <w:trPr>
          <w:cantSplit/>
        </w:trPr>
        <w:tc>
          <w:tcPr>
            <w:tcW w:type="dxa" w:w="1317"/>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p>
        </w:tc>
        <w:tc>
          <w:tcPr>
            <w:tcW w:type="dxa" w:w="150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MySQL</w:t>
            </w:r>
          </w:p>
        </w:tc>
        <w:tc>
          <w:tcPr>
            <w:tcW w:type="dxa" w:w="348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Muy difundido y estable</w:t>
            </w:r>
          </w:p>
        </w:tc>
        <w:tc>
          <w:tcPr>
            <w:tcW w:type="dxa" w:w="3104"/>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Sin RLS nativo ni restricciones de exclusión por rango</w:t>
            </w:r>
          </w:p>
        </w:tc>
      </w:tr>
      <w:tr>
        <w:trPr>
          <w:cantSplit/>
        </w:trPr>
        <w:tc>
          <w:tcPr>
            <w:tcW w:type="dxa" w:w="1317"/>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p>
        </w:tc>
        <w:tc>
          <w:tcPr>
            <w:tcW w:type="dxa" w:w="150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MongoDB</w:t>
            </w:r>
          </w:p>
        </w:tc>
        <w:tc>
          <w:tcPr>
            <w:tcW w:type="dxa" w:w="348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Esquema flexible</w:t>
            </w:r>
          </w:p>
        </w:tc>
        <w:tc>
          <w:tcPr>
            <w:tcW w:type="dxa" w:w="3104"/>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Transacciones y restricciones más débiles para reservas y pagos</w:t>
            </w:r>
          </w:p>
        </w:tc>
      </w:tr>
      <w:tr>
        <w:trPr>
          <w:cantSplit/>
        </w:trPr>
        <w:tc>
          <w:tcPr>
            <w:tcW w:type="dxa" w:w="1317"/>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Hosting</w:t>
            </w:r>
          </w:p>
        </w:tc>
        <w:tc>
          <w:tcPr>
            <w:tcW w:type="dxa" w:w="150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Vercel</w:t>
            </w:r>
          </w:p>
        </w:tc>
        <w:tc>
          <w:tcPr>
            <w:tcW w:type="dxa" w:w="348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Despliegue desde Git, funciones serverless, cron, CDN global</w:t>
            </w:r>
          </w:p>
        </w:tc>
        <w:tc>
          <w:tcPr>
            <w:tcW w:type="dxa" w:w="3104"/>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Plan Hobby solo para uso no comercial</w:t>
            </w:r>
          </w:p>
        </w:tc>
      </w:tr>
      <w:tr>
        <w:trPr>
          <w:cantSplit/>
        </w:trPr>
        <w:tc>
          <w:tcPr>
            <w:tcW w:type="dxa" w:w="1317"/>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p>
        </w:tc>
        <w:tc>
          <w:tcPr>
            <w:tcW w:type="dxa" w:w="150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Netlify</w:t>
            </w:r>
          </w:p>
        </w:tc>
        <w:tc>
          <w:tcPr>
            <w:tcW w:type="dxa" w:w="348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Similar a Vercel en sitios estáticos</w:t>
            </w:r>
          </w:p>
        </w:tc>
        <w:tc>
          <w:tcPr>
            <w:tcW w:type="dxa" w:w="3104"/>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Funciones y cron menos integrados con el flujo actual</w:t>
            </w:r>
          </w:p>
        </w:tc>
      </w:tr>
      <w:tr>
        <w:trPr>
          <w:cantSplit/>
        </w:trPr>
        <w:tc>
          <w:tcPr>
            <w:tcW w:type="dxa" w:w="1317"/>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p>
        </w:tc>
        <w:tc>
          <w:tcPr>
            <w:tcW w:type="dxa" w:w="150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Render</w:t>
            </w:r>
          </w:p>
        </w:tc>
        <w:tc>
          <w:tcPr>
            <w:tcW w:type="dxa" w:w="348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Ejecuta Express sin cambios</w:t>
            </w:r>
          </w:p>
        </w:tc>
        <w:tc>
          <w:tcPr>
            <w:tcW w:type="dxa" w:w="3104"/>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Instancias gratuitas se suspenden; arranque en frío lento</w:t>
            </w:r>
          </w:p>
        </w:tc>
      </w:tr>
      <w:tr>
        <w:trPr>
          <w:cantSplit/>
        </w:trPr>
        <w:tc>
          <w:tcPr>
            <w:tcW w:type="dxa" w:w="1317"/>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Pagos</w:t>
            </w:r>
          </w:p>
        </w:tc>
        <w:tc>
          <w:tcPr>
            <w:tcW w:type="dxa" w:w="150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Transbank Webpay</w:t>
            </w:r>
          </w:p>
        </w:tc>
        <w:tc>
          <w:tcPr>
            <w:tcW w:type="dxa" w:w="348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Estándar en Chile; débito, crédito y prepago; Oneclick para tarjetas guardadas; reembolsos por API</w:t>
            </w:r>
          </w:p>
        </w:tc>
        <w:tc>
          <w:tcPr>
            <w:tcW w:type="dxa" w:w="3104"/>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Proceso de afiliación comercial para producción</w:t>
            </w:r>
          </w:p>
        </w:tc>
      </w:tr>
      <w:tr>
        <w:trPr>
          <w:cantSplit/>
        </w:trPr>
        <w:tc>
          <w:tcPr>
            <w:tcW w:type="dxa" w:w="1317"/>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p>
        </w:tc>
        <w:tc>
          <w:tcPr>
            <w:tcW w:type="dxa" w:w="150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Mercado Pago</w:t>
            </w:r>
          </w:p>
        </w:tc>
        <w:tc>
          <w:tcPr>
            <w:tcW w:type="dxa" w:w="348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Buena documentación y SDK</w:t>
            </w:r>
          </w:p>
        </w:tc>
        <w:tc>
          <w:tcPr>
            <w:tcW w:type="dxa" w:w="3104"/>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Menor penetración en pagos con débito chileno; comisiones mayores</w:t>
            </w:r>
          </w:p>
        </w:tc>
      </w:tr>
      <w:tr>
        <w:trPr>
          <w:cantSplit/>
        </w:trPr>
        <w:tc>
          <w:tcPr>
            <w:tcW w:type="dxa" w:w="1317"/>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p>
        </w:tc>
        <w:tc>
          <w:tcPr>
            <w:tcW w:type="dxa" w:w="150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Flow</w:t>
            </w:r>
          </w:p>
        </w:tc>
        <w:tc>
          <w:tcPr>
            <w:tcW w:type="dxa" w:w="348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Agrega varios medios de pago</w:t>
            </w:r>
          </w:p>
        </w:tc>
        <w:tc>
          <w:tcPr>
            <w:tcW w:type="dxa" w:w="3104"/>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Capa intermedia adicional; menor reconocimiento de marca</w:t>
            </w:r>
          </w:p>
        </w:tc>
      </w:tr>
      <w:tr>
        <w:trPr>
          <w:cantSplit/>
        </w:trPr>
        <w:tc>
          <w:tcPr>
            <w:tcW w:type="dxa" w:w="1317"/>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Lenguaje</w:t>
            </w:r>
          </w:p>
        </w:tc>
        <w:tc>
          <w:tcPr>
            <w:tcW w:type="dxa" w:w="150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TypeScript 5.8</w:t>
            </w:r>
          </w:p>
        </w:tc>
        <w:tc>
          <w:tcPr>
            <w:tcW w:type="dxa" w:w="348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Tipado estático; errores detectados al compilar; mejor mantenibilidad</w:t>
            </w:r>
          </w:p>
        </w:tc>
        <w:tc>
          <w:tcPr>
            <w:tcW w:type="dxa" w:w="3104"/>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Curva inicial de tipos</w:t>
            </w:r>
          </w:p>
        </w:tc>
      </w:tr>
      <w:tr>
        <w:trPr>
          <w:cantSplit/>
        </w:trPr>
        <w:tc>
          <w:tcPr>
            <w:tcW w:type="dxa" w:w="1317"/>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p>
        </w:tc>
        <w:tc>
          <w:tcPr>
            <w:tcW w:type="dxa" w:w="150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JavaScript</w:t>
            </w:r>
          </w:p>
        </w:tc>
        <w:tc>
          <w:tcPr>
            <w:tcW w:type="dxa" w:w="348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Sin paso de compilación</w:t>
            </w:r>
          </w:p>
        </w:tc>
        <w:tc>
          <w:tcPr>
            <w:tcW w:type="dxa" w:w="3104"/>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Errores en tiempo de ejecución; refactorizaciones riesgosas</w:t>
            </w:r>
          </w:p>
        </w:tc>
      </w:tr>
      <w:tr>
        <w:trPr>
          <w:cantSplit/>
        </w:trPr>
        <w:tc>
          <w:tcPr>
            <w:tcW w:type="dxa" w:w="1317"/>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Pruebas</w:t>
            </w:r>
          </w:p>
        </w:tc>
        <w:tc>
          <w:tcPr>
            <w:tcW w:type="dxa" w:w="150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Vitest</w:t>
            </w:r>
          </w:p>
        </w:tc>
        <w:tc>
          <w:tcPr>
            <w:tcW w:type="dxa" w:w="348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Nativo de Vite; rápido; compatible con API de Jest</w:t>
            </w:r>
          </w:p>
        </w:tc>
        <w:tc>
          <w:tcPr>
            <w:tcW w:type="dxa" w:w="3104"/>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Ecosistema más nuevo</w:t>
            </w:r>
          </w:p>
        </w:tc>
      </w:tr>
      <w:tr>
        <w:trPr>
          <w:cantSplit/>
        </w:trPr>
        <w:tc>
          <w:tcPr>
            <w:tcW w:type="dxa" w:w="1317"/>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p>
        </w:tc>
        <w:tc>
          <w:tcPr>
            <w:tcW w:type="dxa" w:w="150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Jest</w:t>
            </w:r>
          </w:p>
        </w:tc>
        <w:tc>
          <w:tcPr>
            <w:tcW w:type="dxa" w:w="348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Muy maduro</w:t>
            </w:r>
          </w:p>
        </w:tc>
        <w:tc>
          <w:tcPr>
            <w:tcW w:type="dxa" w:w="3104"/>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Configuración extra para ESM, TypeScript y Vite</w:t>
            </w:r>
          </w:p>
        </w:tc>
      </w:tr>
    </w:tbl>
    <w:p>
      <w:pPr>
        <w:pStyle w:val="Heading3"/>
        <w:spacing w:after="100" w:before="180"/>
      </w:pPr>
      <w:r>
        <w:rPr>
          <w:rFonts w:ascii="Arial" w:cs="Arial" w:eastAsia="Arial" w:hAnsi="Arial"/>
          <w:b/>
          <w:bCs/>
          <w:sz w:val="22"/>
          <w:szCs w:val="22"/>
        </w:rPr>
        <w:t xml:space="preserve">c) Análisis cuantitativo (matrices ponderadas)</w:t>
      </w:r>
    </w:p>
    <w:p>
      <w:pPr>
        <w:keepNext/>
        <w:spacing w:after="0" w:before="160"/>
      </w:pPr>
      <w:r>
        <w:rPr>
          <w:rFonts w:ascii="Arial" w:cs="Arial" w:eastAsia="Arial" w:hAnsi="Arial"/>
          <w:b/>
          <w:bCs/>
          <w:sz w:val="20"/>
          <w:szCs w:val="20"/>
        </w:rPr>
        <w:t xml:space="preserve">Tabla 4</w:t>
      </w:r>
    </w:p>
    <w:p>
      <w:pPr>
        <w:keepNext/>
        <w:spacing w:after="80"/>
      </w:pPr>
      <w:r>
        <w:rPr>
          <w:rFonts w:ascii="Arial" w:cs="Arial" w:eastAsia="Arial" w:hAnsi="Arial"/>
          <w:i/>
          <w:iCs/>
          <w:sz w:val="20"/>
          <w:szCs w:val="20"/>
        </w:rPr>
        <w:t xml:space="preserve">Matriz ponderada: framework de frontend</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850"/>
        <w:gridCol w:w="855"/>
        <w:gridCol w:w="1045"/>
        <w:gridCol w:w="855"/>
        <w:gridCol w:w="1045"/>
        <w:gridCol w:w="855"/>
        <w:gridCol w:w="1045"/>
        <w:gridCol w:w="856"/>
      </w:tblGrid>
      <w:tr>
        <w:trPr>
          <w:tblHeader/>
        </w:trPr>
        <w:tc>
          <w:tcPr>
            <w:tcW w:type="dxa" w:w="285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Criterio</w:t>
            </w:r>
          </w:p>
        </w:tc>
        <w:tc>
          <w:tcPr>
            <w:tcW w:type="dxa" w:w="855"/>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Peso</w:t>
            </w:r>
          </w:p>
        </w:tc>
        <w:tc>
          <w:tcPr>
            <w:tcW w:type="dxa" w:w="1045"/>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React</w:t>
            </w:r>
          </w:p>
          <w:p>
            <w:pPr>
              <w:jc w:val="center"/>
            </w:pPr>
            <w:r>
              <w:rPr>
                <w:rFonts w:ascii="Arial" w:cs="Arial" w:eastAsia="Arial" w:hAnsi="Arial"/>
                <w:b/>
                <w:bCs/>
                <w:color w:val="FFFFFF"/>
                <w:sz w:val="18"/>
                <w:szCs w:val="18"/>
              </w:rPr>
              <w:t xml:space="preserve">(1–5)</w:t>
            </w:r>
          </w:p>
        </w:tc>
        <w:tc>
          <w:tcPr>
            <w:tcW w:type="dxa" w:w="855"/>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Pond.</w:t>
            </w:r>
          </w:p>
        </w:tc>
        <w:tc>
          <w:tcPr>
            <w:tcW w:type="dxa" w:w="1045"/>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Angular</w:t>
            </w:r>
          </w:p>
          <w:p>
            <w:pPr>
              <w:jc w:val="center"/>
            </w:pPr>
            <w:r>
              <w:rPr>
                <w:rFonts w:ascii="Arial" w:cs="Arial" w:eastAsia="Arial" w:hAnsi="Arial"/>
                <w:b/>
                <w:bCs/>
                <w:color w:val="FFFFFF"/>
                <w:sz w:val="18"/>
                <w:szCs w:val="18"/>
              </w:rPr>
              <w:t xml:space="preserve">(1–5)</w:t>
            </w:r>
          </w:p>
        </w:tc>
        <w:tc>
          <w:tcPr>
            <w:tcW w:type="dxa" w:w="855"/>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Pond.</w:t>
            </w:r>
          </w:p>
        </w:tc>
        <w:tc>
          <w:tcPr>
            <w:tcW w:type="dxa" w:w="1045"/>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Vue</w:t>
            </w:r>
          </w:p>
          <w:p>
            <w:pPr>
              <w:jc w:val="center"/>
            </w:pPr>
            <w:r>
              <w:rPr>
                <w:rFonts w:ascii="Arial" w:cs="Arial" w:eastAsia="Arial" w:hAnsi="Arial"/>
                <w:b/>
                <w:bCs/>
                <w:color w:val="FFFFFF"/>
                <w:sz w:val="18"/>
                <w:szCs w:val="18"/>
              </w:rPr>
              <w:t xml:space="preserve">(1–5)</w:t>
            </w:r>
          </w:p>
        </w:tc>
        <w:tc>
          <w:tcPr>
            <w:tcW w:type="dxa" w:w="856"/>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Pond.</w:t>
            </w:r>
          </w:p>
        </w:tc>
      </w:tr>
      <w:tr>
        <w:trPr>
          <w:cantSplit/>
        </w:trPr>
        <w:tc>
          <w:tcPr>
            <w:tcW w:type="dxa" w:w="285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Experiencia del equipo / curva de aprendizaje</w:t>
            </w:r>
          </w:p>
        </w:tc>
        <w:tc>
          <w:tcPr>
            <w:tcW w:type="dxa" w:w="85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25 %</w:t>
            </w:r>
          </w:p>
        </w:tc>
        <w:tc>
          <w:tcPr>
            <w:tcW w:type="dxa" w:w="104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85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1,25</w:t>
            </w:r>
          </w:p>
        </w:tc>
        <w:tc>
          <w:tcPr>
            <w:tcW w:type="dxa" w:w="104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2</w:t>
            </w:r>
          </w:p>
        </w:tc>
        <w:tc>
          <w:tcPr>
            <w:tcW w:type="dxa" w:w="85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0,50</w:t>
            </w:r>
          </w:p>
        </w:tc>
        <w:tc>
          <w:tcPr>
            <w:tcW w:type="dxa" w:w="104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3</w:t>
            </w:r>
          </w:p>
        </w:tc>
        <w:tc>
          <w:tcPr>
            <w:tcW w:type="dxa" w:w="856"/>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0,75</w:t>
            </w:r>
          </w:p>
        </w:tc>
      </w:tr>
      <w:tr>
        <w:trPr>
          <w:cantSplit/>
        </w:trPr>
        <w:tc>
          <w:tcPr>
            <w:tcW w:type="dxa" w:w="285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Ecosistema de librerías</w:t>
            </w:r>
          </w:p>
        </w:tc>
        <w:tc>
          <w:tcPr>
            <w:tcW w:type="dxa" w:w="85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20 %</w:t>
            </w:r>
          </w:p>
        </w:tc>
        <w:tc>
          <w:tcPr>
            <w:tcW w:type="dxa" w:w="104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85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1,00</w:t>
            </w:r>
          </w:p>
        </w:tc>
        <w:tc>
          <w:tcPr>
            <w:tcW w:type="dxa" w:w="104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4</w:t>
            </w:r>
          </w:p>
        </w:tc>
        <w:tc>
          <w:tcPr>
            <w:tcW w:type="dxa" w:w="85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0,80</w:t>
            </w:r>
          </w:p>
        </w:tc>
        <w:tc>
          <w:tcPr>
            <w:tcW w:type="dxa" w:w="104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4</w:t>
            </w:r>
          </w:p>
        </w:tc>
        <w:tc>
          <w:tcPr>
            <w:tcW w:type="dxa" w:w="856"/>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0,80</w:t>
            </w:r>
          </w:p>
        </w:tc>
      </w:tr>
      <w:tr>
        <w:trPr>
          <w:cantSplit/>
        </w:trPr>
        <w:tc>
          <w:tcPr>
            <w:tcW w:type="dxa" w:w="285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Rendimiento en el navegador</w:t>
            </w:r>
          </w:p>
        </w:tc>
        <w:tc>
          <w:tcPr>
            <w:tcW w:type="dxa" w:w="85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15 %</w:t>
            </w:r>
          </w:p>
        </w:tc>
        <w:tc>
          <w:tcPr>
            <w:tcW w:type="dxa" w:w="104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4</w:t>
            </w:r>
          </w:p>
        </w:tc>
        <w:tc>
          <w:tcPr>
            <w:tcW w:type="dxa" w:w="85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0,60</w:t>
            </w:r>
          </w:p>
        </w:tc>
        <w:tc>
          <w:tcPr>
            <w:tcW w:type="dxa" w:w="104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4</w:t>
            </w:r>
          </w:p>
        </w:tc>
        <w:tc>
          <w:tcPr>
            <w:tcW w:type="dxa" w:w="85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0,60</w:t>
            </w:r>
          </w:p>
        </w:tc>
        <w:tc>
          <w:tcPr>
            <w:tcW w:type="dxa" w:w="104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856"/>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0,75</w:t>
            </w:r>
          </w:p>
        </w:tc>
      </w:tr>
      <w:tr>
        <w:trPr>
          <w:cantSplit/>
        </w:trPr>
        <w:tc>
          <w:tcPr>
            <w:tcW w:type="dxa" w:w="285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Soporte de TypeScript</w:t>
            </w:r>
          </w:p>
        </w:tc>
        <w:tc>
          <w:tcPr>
            <w:tcW w:type="dxa" w:w="85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10 %</w:t>
            </w:r>
          </w:p>
        </w:tc>
        <w:tc>
          <w:tcPr>
            <w:tcW w:type="dxa" w:w="104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85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0,50</w:t>
            </w:r>
          </w:p>
        </w:tc>
        <w:tc>
          <w:tcPr>
            <w:tcW w:type="dxa" w:w="104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85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0,50</w:t>
            </w:r>
          </w:p>
        </w:tc>
        <w:tc>
          <w:tcPr>
            <w:tcW w:type="dxa" w:w="104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4</w:t>
            </w:r>
          </w:p>
        </w:tc>
        <w:tc>
          <w:tcPr>
            <w:tcW w:type="dxa" w:w="856"/>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0,40</w:t>
            </w:r>
          </w:p>
        </w:tc>
      </w:tr>
      <w:tr>
        <w:trPr>
          <w:cantSplit/>
        </w:trPr>
        <w:tc>
          <w:tcPr>
            <w:tcW w:type="dxa" w:w="285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Comunidad y documentación</w:t>
            </w:r>
          </w:p>
        </w:tc>
        <w:tc>
          <w:tcPr>
            <w:tcW w:type="dxa" w:w="85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15 %</w:t>
            </w:r>
          </w:p>
        </w:tc>
        <w:tc>
          <w:tcPr>
            <w:tcW w:type="dxa" w:w="104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85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0,75</w:t>
            </w:r>
          </w:p>
        </w:tc>
        <w:tc>
          <w:tcPr>
            <w:tcW w:type="dxa" w:w="104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4</w:t>
            </w:r>
          </w:p>
        </w:tc>
        <w:tc>
          <w:tcPr>
            <w:tcW w:type="dxa" w:w="85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0,60</w:t>
            </w:r>
          </w:p>
        </w:tc>
        <w:tc>
          <w:tcPr>
            <w:tcW w:type="dxa" w:w="104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4</w:t>
            </w:r>
          </w:p>
        </w:tc>
        <w:tc>
          <w:tcPr>
            <w:tcW w:type="dxa" w:w="856"/>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0,60</w:t>
            </w:r>
          </w:p>
        </w:tc>
      </w:tr>
      <w:tr>
        <w:trPr>
          <w:cantSplit/>
        </w:trPr>
        <w:tc>
          <w:tcPr>
            <w:tcW w:type="dxa" w:w="285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Despliegue como sitio estático</w:t>
            </w:r>
          </w:p>
        </w:tc>
        <w:tc>
          <w:tcPr>
            <w:tcW w:type="dxa" w:w="85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15 %</w:t>
            </w:r>
          </w:p>
        </w:tc>
        <w:tc>
          <w:tcPr>
            <w:tcW w:type="dxa" w:w="104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85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0,75</w:t>
            </w:r>
          </w:p>
        </w:tc>
        <w:tc>
          <w:tcPr>
            <w:tcW w:type="dxa" w:w="104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4</w:t>
            </w:r>
          </w:p>
        </w:tc>
        <w:tc>
          <w:tcPr>
            <w:tcW w:type="dxa" w:w="85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0,60</w:t>
            </w:r>
          </w:p>
        </w:tc>
        <w:tc>
          <w:tcPr>
            <w:tcW w:type="dxa" w:w="104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856"/>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0,75</w:t>
            </w:r>
          </w:p>
        </w:tc>
      </w:tr>
      <w:tr>
        <w:trPr>
          <w:cantSplit/>
        </w:trPr>
        <w:tc>
          <w:tcPr>
            <w:tcW w:type="dxa" w:w="2850"/>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left"/>
            </w:pPr>
            <w:r>
              <w:rPr>
                <w:rFonts w:ascii="Arial" w:cs="Arial" w:eastAsia="Arial" w:hAnsi="Arial"/>
                <w:b/>
                <w:bCs/>
                <w:sz w:val="18"/>
                <w:szCs w:val="18"/>
              </w:rPr>
              <w:t xml:space="preserve">Total ponderado</w:t>
            </w:r>
          </w:p>
        </w:tc>
        <w:tc>
          <w:tcPr>
            <w:tcW w:type="dxa" w:w="855"/>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r>
              <w:rPr>
                <w:rFonts w:ascii="Arial" w:cs="Arial" w:eastAsia="Arial" w:hAnsi="Arial"/>
                <w:b/>
                <w:bCs/>
                <w:sz w:val="18"/>
                <w:szCs w:val="18"/>
              </w:rPr>
              <w:t xml:space="preserve">100 %</w:t>
            </w:r>
          </w:p>
        </w:tc>
        <w:tc>
          <w:tcPr>
            <w:tcW w:type="dxa" w:w="1045"/>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p>
        </w:tc>
        <w:tc>
          <w:tcPr>
            <w:tcW w:type="dxa" w:w="855"/>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r>
              <w:rPr>
                <w:rFonts w:ascii="Arial" w:cs="Arial" w:eastAsia="Arial" w:hAnsi="Arial"/>
                <w:b/>
                <w:bCs/>
                <w:sz w:val="18"/>
                <w:szCs w:val="18"/>
              </w:rPr>
              <w:t xml:space="preserve">4,85</w:t>
            </w:r>
          </w:p>
        </w:tc>
        <w:tc>
          <w:tcPr>
            <w:tcW w:type="dxa" w:w="1045"/>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p>
        </w:tc>
        <w:tc>
          <w:tcPr>
            <w:tcW w:type="dxa" w:w="855"/>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r>
              <w:rPr>
                <w:rFonts w:ascii="Arial" w:cs="Arial" w:eastAsia="Arial" w:hAnsi="Arial"/>
                <w:b/>
                <w:bCs/>
                <w:sz w:val="18"/>
                <w:szCs w:val="18"/>
              </w:rPr>
              <w:t xml:space="preserve">3,60</w:t>
            </w:r>
          </w:p>
        </w:tc>
        <w:tc>
          <w:tcPr>
            <w:tcW w:type="dxa" w:w="1045"/>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p>
        </w:tc>
        <w:tc>
          <w:tcPr>
            <w:tcW w:type="dxa" w:w="856"/>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r>
              <w:rPr>
                <w:rFonts w:ascii="Arial" w:cs="Arial" w:eastAsia="Arial" w:hAnsi="Arial"/>
                <w:b/>
                <w:bCs/>
                <w:sz w:val="18"/>
                <w:szCs w:val="18"/>
              </w:rPr>
              <w:t xml:space="preserve">4,05</w:t>
            </w:r>
          </w:p>
        </w:tc>
      </w:tr>
    </w:tbl>
    <w:p>
      <w:pPr>
        <w:keepNext/>
        <w:spacing w:after="0" w:before="160"/>
      </w:pPr>
      <w:r>
        <w:rPr>
          <w:rFonts w:ascii="Arial" w:cs="Arial" w:eastAsia="Arial" w:hAnsi="Arial"/>
          <w:b/>
          <w:bCs/>
          <w:sz w:val="20"/>
          <w:szCs w:val="20"/>
        </w:rPr>
        <w:t xml:space="preserve">Tabla 5</w:t>
      </w:r>
    </w:p>
    <w:p>
      <w:pPr>
        <w:keepNext/>
        <w:spacing w:after="80"/>
      </w:pPr>
      <w:r>
        <w:rPr>
          <w:rFonts w:ascii="Arial" w:cs="Arial" w:eastAsia="Arial" w:hAnsi="Arial"/>
          <w:i/>
          <w:iCs/>
          <w:sz w:val="20"/>
          <w:szCs w:val="20"/>
        </w:rPr>
        <w:t xml:space="preserve">Matriz ponderada: plataforma de backend</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850"/>
        <w:gridCol w:w="855"/>
        <w:gridCol w:w="1045"/>
        <w:gridCol w:w="855"/>
        <w:gridCol w:w="1045"/>
        <w:gridCol w:w="855"/>
        <w:gridCol w:w="1045"/>
        <w:gridCol w:w="856"/>
      </w:tblGrid>
      <w:tr>
        <w:trPr>
          <w:tblHeader/>
        </w:trPr>
        <w:tc>
          <w:tcPr>
            <w:tcW w:type="dxa" w:w="285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Criterio</w:t>
            </w:r>
          </w:p>
        </w:tc>
        <w:tc>
          <w:tcPr>
            <w:tcW w:type="dxa" w:w="855"/>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Peso</w:t>
            </w:r>
          </w:p>
        </w:tc>
        <w:tc>
          <w:tcPr>
            <w:tcW w:type="dxa" w:w="1045"/>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Supabase</w:t>
            </w:r>
          </w:p>
          <w:p>
            <w:pPr>
              <w:jc w:val="center"/>
            </w:pPr>
            <w:r>
              <w:rPr>
                <w:rFonts w:ascii="Arial" w:cs="Arial" w:eastAsia="Arial" w:hAnsi="Arial"/>
                <w:b/>
                <w:bCs/>
                <w:color w:val="FFFFFF"/>
                <w:sz w:val="18"/>
                <w:szCs w:val="18"/>
              </w:rPr>
              <w:t xml:space="preserve">(1–5)</w:t>
            </w:r>
          </w:p>
        </w:tc>
        <w:tc>
          <w:tcPr>
            <w:tcW w:type="dxa" w:w="855"/>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Pond.</w:t>
            </w:r>
          </w:p>
        </w:tc>
        <w:tc>
          <w:tcPr>
            <w:tcW w:type="dxa" w:w="1045"/>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Firebase</w:t>
            </w:r>
          </w:p>
          <w:p>
            <w:pPr>
              <w:jc w:val="center"/>
            </w:pPr>
            <w:r>
              <w:rPr>
                <w:rFonts w:ascii="Arial" w:cs="Arial" w:eastAsia="Arial" w:hAnsi="Arial"/>
                <w:b/>
                <w:bCs/>
                <w:color w:val="FFFFFF"/>
                <w:sz w:val="18"/>
                <w:szCs w:val="18"/>
              </w:rPr>
              <w:t xml:space="preserve">(1–5)</w:t>
            </w:r>
          </w:p>
        </w:tc>
        <w:tc>
          <w:tcPr>
            <w:tcW w:type="dxa" w:w="855"/>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Pond.</w:t>
            </w:r>
          </w:p>
        </w:tc>
        <w:tc>
          <w:tcPr>
            <w:tcW w:type="dxa" w:w="1045"/>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Node+AWS RDS</w:t>
            </w:r>
          </w:p>
          <w:p>
            <w:pPr>
              <w:jc w:val="center"/>
            </w:pPr>
            <w:r>
              <w:rPr>
                <w:rFonts w:ascii="Arial" w:cs="Arial" w:eastAsia="Arial" w:hAnsi="Arial"/>
                <w:b/>
                <w:bCs/>
                <w:color w:val="FFFFFF"/>
                <w:sz w:val="18"/>
                <w:szCs w:val="18"/>
              </w:rPr>
              <w:t xml:space="preserve">(1–5)</w:t>
            </w:r>
          </w:p>
        </w:tc>
        <w:tc>
          <w:tcPr>
            <w:tcW w:type="dxa" w:w="856"/>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Pond.</w:t>
            </w:r>
          </w:p>
        </w:tc>
      </w:tr>
      <w:tr>
        <w:trPr>
          <w:cantSplit/>
        </w:trPr>
        <w:tc>
          <w:tcPr>
            <w:tcW w:type="dxa" w:w="285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Costo inicial</w:t>
            </w:r>
          </w:p>
        </w:tc>
        <w:tc>
          <w:tcPr>
            <w:tcW w:type="dxa" w:w="85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20 %</w:t>
            </w:r>
          </w:p>
        </w:tc>
        <w:tc>
          <w:tcPr>
            <w:tcW w:type="dxa" w:w="104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85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1,00</w:t>
            </w:r>
          </w:p>
        </w:tc>
        <w:tc>
          <w:tcPr>
            <w:tcW w:type="dxa" w:w="104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4</w:t>
            </w:r>
          </w:p>
        </w:tc>
        <w:tc>
          <w:tcPr>
            <w:tcW w:type="dxa" w:w="85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0,80</w:t>
            </w:r>
          </w:p>
        </w:tc>
        <w:tc>
          <w:tcPr>
            <w:tcW w:type="dxa" w:w="104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2</w:t>
            </w:r>
          </w:p>
        </w:tc>
        <w:tc>
          <w:tcPr>
            <w:tcW w:type="dxa" w:w="856"/>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0,40</w:t>
            </w:r>
          </w:p>
        </w:tc>
      </w:tr>
      <w:tr>
        <w:trPr>
          <w:cantSplit/>
        </w:trPr>
        <w:tc>
          <w:tcPr>
            <w:tcW w:type="dxa" w:w="285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Tiempo de desarrollo</w:t>
            </w:r>
          </w:p>
        </w:tc>
        <w:tc>
          <w:tcPr>
            <w:tcW w:type="dxa" w:w="85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25 %</w:t>
            </w:r>
          </w:p>
        </w:tc>
        <w:tc>
          <w:tcPr>
            <w:tcW w:type="dxa" w:w="104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85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1,25</w:t>
            </w:r>
          </w:p>
        </w:tc>
        <w:tc>
          <w:tcPr>
            <w:tcW w:type="dxa" w:w="104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85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1,25</w:t>
            </w:r>
          </w:p>
        </w:tc>
        <w:tc>
          <w:tcPr>
            <w:tcW w:type="dxa" w:w="104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2</w:t>
            </w:r>
          </w:p>
        </w:tc>
        <w:tc>
          <w:tcPr>
            <w:tcW w:type="dxa" w:w="856"/>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0,50</w:t>
            </w:r>
          </w:p>
        </w:tc>
      </w:tr>
      <w:tr>
        <w:trPr>
          <w:cantSplit/>
        </w:trPr>
        <w:tc>
          <w:tcPr>
            <w:tcW w:type="dxa" w:w="285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Seguridad nativa (Auth, RLS)</w:t>
            </w:r>
          </w:p>
        </w:tc>
        <w:tc>
          <w:tcPr>
            <w:tcW w:type="dxa" w:w="85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20 %</w:t>
            </w:r>
          </w:p>
        </w:tc>
        <w:tc>
          <w:tcPr>
            <w:tcW w:type="dxa" w:w="104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85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1,00</w:t>
            </w:r>
          </w:p>
        </w:tc>
        <w:tc>
          <w:tcPr>
            <w:tcW w:type="dxa" w:w="104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4</w:t>
            </w:r>
          </w:p>
        </w:tc>
        <w:tc>
          <w:tcPr>
            <w:tcW w:type="dxa" w:w="85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0,80</w:t>
            </w:r>
          </w:p>
        </w:tc>
        <w:tc>
          <w:tcPr>
            <w:tcW w:type="dxa" w:w="104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3</w:t>
            </w:r>
          </w:p>
        </w:tc>
        <w:tc>
          <w:tcPr>
            <w:tcW w:type="dxa" w:w="856"/>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0,60</w:t>
            </w:r>
          </w:p>
        </w:tc>
      </w:tr>
      <w:tr>
        <w:trPr>
          <w:cantSplit/>
        </w:trPr>
        <w:tc>
          <w:tcPr>
            <w:tcW w:type="dxa" w:w="285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Modelo relacional / SQL</w:t>
            </w:r>
          </w:p>
        </w:tc>
        <w:tc>
          <w:tcPr>
            <w:tcW w:type="dxa" w:w="85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15 %</w:t>
            </w:r>
          </w:p>
        </w:tc>
        <w:tc>
          <w:tcPr>
            <w:tcW w:type="dxa" w:w="104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85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0,75</w:t>
            </w:r>
          </w:p>
        </w:tc>
        <w:tc>
          <w:tcPr>
            <w:tcW w:type="dxa" w:w="104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1</w:t>
            </w:r>
          </w:p>
        </w:tc>
        <w:tc>
          <w:tcPr>
            <w:tcW w:type="dxa" w:w="85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0,15</w:t>
            </w:r>
          </w:p>
        </w:tc>
        <w:tc>
          <w:tcPr>
            <w:tcW w:type="dxa" w:w="104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856"/>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0,75</w:t>
            </w:r>
          </w:p>
        </w:tc>
      </w:tr>
      <w:tr>
        <w:trPr>
          <w:cantSplit/>
        </w:trPr>
        <w:tc>
          <w:tcPr>
            <w:tcW w:type="dxa" w:w="285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Portabilidad (bajo lock-in)</w:t>
            </w:r>
          </w:p>
        </w:tc>
        <w:tc>
          <w:tcPr>
            <w:tcW w:type="dxa" w:w="85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10 %</w:t>
            </w:r>
          </w:p>
        </w:tc>
        <w:tc>
          <w:tcPr>
            <w:tcW w:type="dxa" w:w="104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4</w:t>
            </w:r>
          </w:p>
        </w:tc>
        <w:tc>
          <w:tcPr>
            <w:tcW w:type="dxa" w:w="85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0,40</w:t>
            </w:r>
          </w:p>
        </w:tc>
        <w:tc>
          <w:tcPr>
            <w:tcW w:type="dxa" w:w="104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2</w:t>
            </w:r>
          </w:p>
        </w:tc>
        <w:tc>
          <w:tcPr>
            <w:tcW w:type="dxa" w:w="85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0,20</w:t>
            </w:r>
          </w:p>
        </w:tc>
        <w:tc>
          <w:tcPr>
            <w:tcW w:type="dxa" w:w="104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856"/>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0,50</w:t>
            </w:r>
          </w:p>
        </w:tc>
      </w:tr>
      <w:tr>
        <w:trPr>
          <w:cantSplit/>
        </w:trPr>
        <w:tc>
          <w:tcPr>
            <w:tcW w:type="dxa" w:w="285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Región y latencia hacia Chile</w:t>
            </w:r>
          </w:p>
        </w:tc>
        <w:tc>
          <w:tcPr>
            <w:tcW w:type="dxa" w:w="85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10 %</w:t>
            </w:r>
          </w:p>
        </w:tc>
        <w:tc>
          <w:tcPr>
            <w:tcW w:type="dxa" w:w="104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4</w:t>
            </w:r>
          </w:p>
        </w:tc>
        <w:tc>
          <w:tcPr>
            <w:tcW w:type="dxa" w:w="85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0,40</w:t>
            </w:r>
          </w:p>
        </w:tc>
        <w:tc>
          <w:tcPr>
            <w:tcW w:type="dxa" w:w="104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4</w:t>
            </w:r>
          </w:p>
        </w:tc>
        <w:tc>
          <w:tcPr>
            <w:tcW w:type="dxa" w:w="85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0,40</w:t>
            </w:r>
          </w:p>
        </w:tc>
        <w:tc>
          <w:tcPr>
            <w:tcW w:type="dxa" w:w="104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856"/>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0,50</w:t>
            </w:r>
          </w:p>
        </w:tc>
      </w:tr>
      <w:tr>
        <w:trPr>
          <w:cantSplit/>
        </w:trPr>
        <w:tc>
          <w:tcPr>
            <w:tcW w:type="dxa" w:w="2850"/>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left"/>
            </w:pPr>
            <w:r>
              <w:rPr>
                <w:rFonts w:ascii="Arial" w:cs="Arial" w:eastAsia="Arial" w:hAnsi="Arial"/>
                <w:b/>
                <w:bCs/>
                <w:sz w:val="18"/>
                <w:szCs w:val="18"/>
              </w:rPr>
              <w:t xml:space="preserve">Total ponderado</w:t>
            </w:r>
          </w:p>
        </w:tc>
        <w:tc>
          <w:tcPr>
            <w:tcW w:type="dxa" w:w="855"/>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r>
              <w:rPr>
                <w:rFonts w:ascii="Arial" w:cs="Arial" w:eastAsia="Arial" w:hAnsi="Arial"/>
                <w:b/>
                <w:bCs/>
                <w:sz w:val="18"/>
                <w:szCs w:val="18"/>
              </w:rPr>
              <w:t xml:space="preserve">100 %</w:t>
            </w:r>
          </w:p>
        </w:tc>
        <w:tc>
          <w:tcPr>
            <w:tcW w:type="dxa" w:w="1045"/>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p>
        </w:tc>
        <w:tc>
          <w:tcPr>
            <w:tcW w:type="dxa" w:w="855"/>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r>
              <w:rPr>
                <w:rFonts w:ascii="Arial" w:cs="Arial" w:eastAsia="Arial" w:hAnsi="Arial"/>
                <w:b/>
                <w:bCs/>
                <w:sz w:val="18"/>
                <w:szCs w:val="18"/>
              </w:rPr>
              <w:t xml:space="preserve">4,80</w:t>
            </w:r>
          </w:p>
        </w:tc>
        <w:tc>
          <w:tcPr>
            <w:tcW w:type="dxa" w:w="1045"/>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p>
        </w:tc>
        <w:tc>
          <w:tcPr>
            <w:tcW w:type="dxa" w:w="855"/>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r>
              <w:rPr>
                <w:rFonts w:ascii="Arial" w:cs="Arial" w:eastAsia="Arial" w:hAnsi="Arial"/>
                <w:b/>
                <w:bCs/>
                <w:sz w:val="18"/>
                <w:szCs w:val="18"/>
              </w:rPr>
              <w:t xml:space="preserve">3,60</w:t>
            </w:r>
          </w:p>
        </w:tc>
        <w:tc>
          <w:tcPr>
            <w:tcW w:type="dxa" w:w="1045"/>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p>
        </w:tc>
        <w:tc>
          <w:tcPr>
            <w:tcW w:type="dxa" w:w="856"/>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r>
              <w:rPr>
                <w:rFonts w:ascii="Arial" w:cs="Arial" w:eastAsia="Arial" w:hAnsi="Arial"/>
                <w:b/>
                <w:bCs/>
                <w:sz w:val="18"/>
                <w:szCs w:val="18"/>
              </w:rPr>
              <w:t xml:space="preserve">3,25</w:t>
            </w:r>
          </w:p>
        </w:tc>
      </w:tr>
    </w:tbl>
    <w:p>
      <w:pPr>
        <w:keepNext/>
        <w:spacing w:after="0" w:before="160"/>
      </w:pPr>
      <w:r>
        <w:rPr>
          <w:rFonts w:ascii="Arial" w:cs="Arial" w:eastAsia="Arial" w:hAnsi="Arial"/>
          <w:b/>
          <w:bCs/>
          <w:sz w:val="20"/>
          <w:szCs w:val="20"/>
        </w:rPr>
        <w:t xml:space="preserve">Tabla 6</w:t>
      </w:r>
    </w:p>
    <w:p>
      <w:pPr>
        <w:keepNext/>
        <w:spacing w:after="80"/>
      </w:pPr>
      <w:r>
        <w:rPr>
          <w:rFonts w:ascii="Arial" w:cs="Arial" w:eastAsia="Arial" w:hAnsi="Arial"/>
          <w:i/>
          <w:iCs/>
          <w:sz w:val="20"/>
          <w:szCs w:val="20"/>
        </w:rPr>
        <w:t xml:space="preserve">Matriz ponderada: motor de base de datos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850"/>
        <w:gridCol w:w="855"/>
        <w:gridCol w:w="1045"/>
        <w:gridCol w:w="855"/>
        <w:gridCol w:w="1045"/>
        <w:gridCol w:w="855"/>
        <w:gridCol w:w="1045"/>
        <w:gridCol w:w="856"/>
      </w:tblGrid>
      <w:tr>
        <w:trPr>
          <w:tblHeader/>
        </w:trPr>
        <w:tc>
          <w:tcPr>
            <w:tcW w:type="dxa" w:w="285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Criterio</w:t>
            </w:r>
          </w:p>
        </w:tc>
        <w:tc>
          <w:tcPr>
            <w:tcW w:type="dxa" w:w="855"/>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Peso</w:t>
            </w:r>
          </w:p>
        </w:tc>
        <w:tc>
          <w:tcPr>
            <w:tcW w:type="dxa" w:w="1045"/>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PostgreSQL</w:t>
            </w:r>
          </w:p>
          <w:p>
            <w:pPr>
              <w:jc w:val="center"/>
            </w:pPr>
            <w:r>
              <w:rPr>
                <w:rFonts w:ascii="Arial" w:cs="Arial" w:eastAsia="Arial" w:hAnsi="Arial"/>
                <w:b/>
                <w:bCs/>
                <w:color w:val="FFFFFF"/>
                <w:sz w:val="18"/>
                <w:szCs w:val="18"/>
              </w:rPr>
              <w:t xml:space="preserve">(1–5)</w:t>
            </w:r>
          </w:p>
        </w:tc>
        <w:tc>
          <w:tcPr>
            <w:tcW w:type="dxa" w:w="855"/>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Pond.</w:t>
            </w:r>
          </w:p>
        </w:tc>
        <w:tc>
          <w:tcPr>
            <w:tcW w:type="dxa" w:w="1045"/>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MySQL</w:t>
            </w:r>
          </w:p>
          <w:p>
            <w:pPr>
              <w:jc w:val="center"/>
            </w:pPr>
            <w:r>
              <w:rPr>
                <w:rFonts w:ascii="Arial" w:cs="Arial" w:eastAsia="Arial" w:hAnsi="Arial"/>
                <w:b/>
                <w:bCs/>
                <w:color w:val="FFFFFF"/>
                <w:sz w:val="18"/>
                <w:szCs w:val="18"/>
              </w:rPr>
              <w:t xml:space="preserve">(1–5)</w:t>
            </w:r>
          </w:p>
        </w:tc>
        <w:tc>
          <w:tcPr>
            <w:tcW w:type="dxa" w:w="855"/>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Pond.</w:t>
            </w:r>
          </w:p>
        </w:tc>
        <w:tc>
          <w:tcPr>
            <w:tcW w:type="dxa" w:w="1045"/>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MongoDB</w:t>
            </w:r>
          </w:p>
          <w:p>
            <w:pPr>
              <w:jc w:val="center"/>
            </w:pPr>
            <w:r>
              <w:rPr>
                <w:rFonts w:ascii="Arial" w:cs="Arial" w:eastAsia="Arial" w:hAnsi="Arial"/>
                <w:b/>
                <w:bCs/>
                <w:color w:val="FFFFFF"/>
                <w:sz w:val="18"/>
                <w:szCs w:val="18"/>
              </w:rPr>
              <w:t xml:space="preserve">(1–5)</w:t>
            </w:r>
          </w:p>
        </w:tc>
        <w:tc>
          <w:tcPr>
            <w:tcW w:type="dxa" w:w="856"/>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Pond.</w:t>
            </w:r>
          </w:p>
        </w:tc>
      </w:tr>
      <w:tr>
        <w:trPr>
          <w:cantSplit/>
        </w:trPr>
        <w:tc>
          <w:tcPr>
            <w:tcW w:type="dxa" w:w="285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Integridad transaccional (ACID)</w:t>
            </w:r>
          </w:p>
        </w:tc>
        <w:tc>
          <w:tcPr>
            <w:tcW w:type="dxa" w:w="85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25 %</w:t>
            </w:r>
          </w:p>
        </w:tc>
        <w:tc>
          <w:tcPr>
            <w:tcW w:type="dxa" w:w="104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85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1,25</w:t>
            </w:r>
          </w:p>
        </w:tc>
        <w:tc>
          <w:tcPr>
            <w:tcW w:type="dxa" w:w="104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85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1,25</w:t>
            </w:r>
          </w:p>
        </w:tc>
        <w:tc>
          <w:tcPr>
            <w:tcW w:type="dxa" w:w="104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3</w:t>
            </w:r>
          </w:p>
        </w:tc>
        <w:tc>
          <w:tcPr>
            <w:tcW w:type="dxa" w:w="856"/>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0,75</w:t>
            </w:r>
          </w:p>
        </w:tc>
      </w:tr>
      <w:tr>
        <w:trPr>
          <w:cantSplit/>
        </w:trPr>
        <w:tc>
          <w:tcPr>
            <w:tcW w:type="dxa" w:w="285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Restricciones avanzadas (rangos, exclusión)</w:t>
            </w:r>
          </w:p>
        </w:tc>
        <w:tc>
          <w:tcPr>
            <w:tcW w:type="dxa" w:w="85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20 %</w:t>
            </w:r>
          </w:p>
        </w:tc>
        <w:tc>
          <w:tcPr>
            <w:tcW w:type="dxa" w:w="104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85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1,00</w:t>
            </w:r>
          </w:p>
        </w:tc>
        <w:tc>
          <w:tcPr>
            <w:tcW w:type="dxa" w:w="104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2</w:t>
            </w:r>
          </w:p>
        </w:tc>
        <w:tc>
          <w:tcPr>
            <w:tcW w:type="dxa" w:w="85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0,40</w:t>
            </w:r>
          </w:p>
        </w:tc>
        <w:tc>
          <w:tcPr>
            <w:tcW w:type="dxa" w:w="104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2</w:t>
            </w:r>
          </w:p>
        </w:tc>
        <w:tc>
          <w:tcPr>
            <w:tcW w:type="dxa" w:w="856"/>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0,40</w:t>
            </w:r>
          </w:p>
        </w:tc>
      </w:tr>
      <w:tr>
        <w:trPr>
          <w:cantSplit/>
        </w:trPr>
        <w:tc>
          <w:tcPr>
            <w:tcW w:type="dxa" w:w="285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Seguridad a nivel de fila</w:t>
            </w:r>
          </w:p>
        </w:tc>
        <w:tc>
          <w:tcPr>
            <w:tcW w:type="dxa" w:w="85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20 %</w:t>
            </w:r>
          </w:p>
        </w:tc>
        <w:tc>
          <w:tcPr>
            <w:tcW w:type="dxa" w:w="104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85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1,00</w:t>
            </w:r>
          </w:p>
        </w:tc>
        <w:tc>
          <w:tcPr>
            <w:tcW w:type="dxa" w:w="104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2</w:t>
            </w:r>
          </w:p>
        </w:tc>
        <w:tc>
          <w:tcPr>
            <w:tcW w:type="dxa" w:w="85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0,40</w:t>
            </w:r>
          </w:p>
        </w:tc>
        <w:tc>
          <w:tcPr>
            <w:tcW w:type="dxa" w:w="104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2</w:t>
            </w:r>
          </w:p>
        </w:tc>
        <w:tc>
          <w:tcPr>
            <w:tcW w:type="dxa" w:w="856"/>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0,40</w:t>
            </w:r>
          </w:p>
        </w:tc>
      </w:tr>
      <w:tr>
        <w:trPr>
          <w:cantSplit/>
        </w:trPr>
        <w:tc>
          <w:tcPr>
            <w:tcW w:type="dxa" w:w="285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Búsqueda de texto</w:t>
            </w:r>
          </w:p>
        </w:tc>
        <w:tc>
          <w:tcPr>
            <w:tcW w:type="dxa" w:w="85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10 %</w:t>
            </w:r>
          </w:p>
        </w:tc>
        <w:tc>
          <w:tcPr>
            <w:tcW w:type="dxa" w:w="104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4</w:t>
            </w:r>
          </w:p>
        </w:tc>
        <w:tc>
          <w:tcPr>
            <w:tcW w:type="dxa" w:w="85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0,40</w:t>
            </w:r>
          </w:p>
        </w:tc>
        <w:tc>
          <w:tcPr>
            <w:tcW w:type="dxa" w:w="104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3</w:t>
            </w:r>
          </w:p>
        </w:tc>
        <w:tc>
          <w:tcPr>
            <w:tcW w:type="dxa" w:w="85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0,30</w:t>
            </w:r>
          </w:p>
        </w:tc>
        <w:tc>
          <w:tcPr>
            <w:tcW w:type="dxa" w:w="104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4</w:t>
            </w:r>
          </w:p>
        </w:tc>
        <w:tc>
          <w:tcPr>
            <w:tcW w:type="dxa" w:w="856"/>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0,40</w:t>
            </w:r>
          </w:p>
        </w:tc>
      </w:tr>
      <w:tr>
        <w:trPr>
          <w:cantSplit/>
        </w:trPr>
        <w:tc>
          <w:tcPr>
            <w:tcW w:type="dxa" w:w="285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Oferta gestionada en la nube</w:t>
            </w:r>
          </w:p>
        </w:tc>
        <w:tc>
          <w:tcPr>
            <w:tcW w:type="dxa" w:w="85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15 %</w:t>
            </w:r>
          </w:p>
        </w:tc>
        <w:tc>
          <w:tcPr>
            <w:tcW w:type="dxa" w:w="104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85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0,75</w:t>
            </w:r>
          </w:p>
        </w:tc>
        <w:tc>
          <w:tcPr>
            <w:tcW w:type="dxa" w:w="104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85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0,75</w:t>
            </w:r>
          </w:p>
        </w:tc>
        <w:tc>
          <w:tcPr>
            <w:tcW w:type="dxa" w:w="104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856"/>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0,75</w:t>
            </w:r>
          </w:p>
        </w:tc>
      </w:tr>
      <w:tr>
        <w:trPr>
          <w:cantSplit/>
        </w:trPr>
        <w:tc>
          <w:tcPr>
            <w:tcW w:type="dxa" w:w="285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Costo</w:t>
            </w:r>
          </w:p>
        </w:tc>
        <w:tc>
          <w:tcPr>
            <w:tcW w:type="dxa" w:w="85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10 %</w:t>
            </w:r>
          </w:p>
        </w:tc>
        <w:tc>
          <w:tcPr>
            <w:tcW w:type="dxa" w:w="104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85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0,50</w:t>
            </w:r>
          </w:p>
        </w:tc>
        <w:tc>
          <w:tcPr>
            <w:tcW w:type="dxa" w:w="104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85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0,50</w:t>
            </w:r>
          </w:p>
        </w:tc>
        <w:tc>
          <w:tcPr>
            <w:tcW w:type="dxa" w:w="104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4</w:t>
            </w:r>
          </w:p>
        </w:tc>
        <w:tc>
          <w:tcPr>
            <w:tcW w:type="dxa" w:w="856"/>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0,40</w:t>
            </w:r>
          </w:p>
        </w:tc>
      </w:tr>
      <w:tr>
        <w:trPr>
          <w:cantSplit/>
        </w:trPr>
        <w:tc>
          <w:tcPr>
            <w:tcW w:type="dxa" w:w="2850"/>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left"/>
            </w:pPr>
            <w:r>
              <w:rPr>
                <w:rFonts w:ascii="Arial" w:cs="Arial" w:eastAsia="Arial" w:hAnsi="Arial"/>
                <w:b/>
                <w:bCs/>
                <w:sz w:val="18"/>
                <w:szCs w:val="18"/>
              </w:rPr>
              <w:t xml:space="preserve">Total ponderado</w:t>
            </w:r>
          </w:p>
        </w:tc>
        <w:tc>
          <w:tcPr>
            <w:tcW w:type="dxa" w:w="855"/>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r>
              <w:rPr>
                <w:rFonts w:ascii="Arial" w:cs="Arial" w:eastAsia="Arial" w:hAnsi="Arial"/>
                <w:b/>
                <w:bCs/>
                <w:sz w:val="18"/>
                <w:szCs w:val="18"/>
              </w:rPr>
              <w:t xml:space="preserve">100 %</w:t>
            </w:r>
          </w:p>
        </w:tc>
        <w:tc>
          <w:tcPr>
            <w:tcW w:type="dxa" w:w="1045"/>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p>
        </w:tc>
        <w:tc>
          <w:tcPr>
            <w:tcW w:type="dxa" w:w="855"/>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r>
              <w:rPr>
                <w:rFonts w:ascii="Arial" w:cs="Arial" w:eastAsia="Arial" w:hAnsi="Arial"/>
                <w:b/>
                <w:bCs/>
                <w:sz w:val="18"/>
                <w:szCs w:val="18"/>
              </w:rPr>
              <w:t xml:space="preserve">4,90</w:t>
            </w:r>
          </w:p>
        </w:tc>
        <w:tc>
          <w:tcPr>
            <w:tcW w:type="dxa" w:w="1045"/>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p>
        </w:tc>
        <w:tc>
          <w:tcPr>
            <w:tcW w:type="dxa" w:w="855"/>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r>
              <w:rPr>
                <w:rFonts w:ascii="Arial" w:cs="Arial" w:eastAsia="Arial" w:hAnsi="Arial"/>
                <w:b/>
                <w:bCs/>
                <w:sz w:val="18"/>
                <w:szCs w:val="18"/>
              </w:rPr>
              <w:t xml:space="preserve">3,60</w:t>
            </w:r>
          </w:p>
        </w:tc>
        <w:tc>
          <w:tcPr>
            <w:tcW w:type="dxa" w:w="1045"/>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p>
        </w:tc>
        <w:tc>
          <w:tcPr>
            <w:tcW w:type="dxa" w:w="856"/>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r>
              <w:rPr>
                <w:rFonts w:ascii="Arial" w:cs="Arial" w:eastAsia="Arial" w:hAnsi="Arial"/>
                <w:b/>
                <w:bCs/>
                <w:sz w:val="18"/>
                <w:szCs w:val="18"/>
              </w:rPr>
              <w:t xml:space="preserve">3,10</w:t>
            </w:r>
          </w:p>
        </w:tc>
      </w:tr>
    </w:tbl>
    <w:p>
      <w:pPr>
        <w:keepNext/>
        <w:spacing w:after="0" w:before="160"/>
      </w:pPr>
      <w:r>
        <w:rPr>
          <w:rFonts w:ascii="Arial" w:cs="Arial" w:eastAsia="Arial" w:hAnsi="Arial"/>
          <w:b/>
          <w:bCs/>
          <w:sz w:val="20"/>
          <w:szCs w:val="20"/>
        </w:rPr>
        <w:t xml:space="preserve">Tabla 7</w:t>
      </w:r>
    </w:p>
    <w:p>
      <w:pPr>
        <w:keepNext/>
        <w:spacing w:after="80"/>
      </w:pPr>
      <w:r>
        <w:rPr>
          <w:rFonts w:ascii="Arial" w:cs="Arial" w:eastAsia="Arial" w:hAnsi="Arial"/>
          <w:i/>
          <w:iCs/>
          <w:sz w:val="20"/>
          <w:szCs w:val="20"/>
        </w:rPr>
        <w:t xml:space="preserve">Matriz ponderada: hosting y despliegue</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850"/>
        <w:gridCol w:w="855"/>
        <w:gridCol w:w="1045"/>
        <w:gridCol w:w="855"/>
        <w:gridCol w:w="1045"/>
        <w:gridCol w:w="855"/>
        <w:gridCol w:w="1045"/>
        <w:gridCol w:w="856"/>
      </w:tblGrid>
      <w:tr>
        <w:trPr>
          <w:tblHeader/>
        </w:trPr>
        <w:tc>
          <w:tcPr>
            <w:tcW w:type="dxa" w:w="285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Criterio</w:t>
            </w:r>
          </w:p>
        </w:tc>
        <w:tc>
          <w:tcPr>
            <w:tcW w:type="dxa" w:w="855"/>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Peso</w:t>
            </w:r>
          </w:p>
        </w:tc>
        <w:tc>
          <w:tcPr>
            <w:tcW w:type="dxa" w:w="1045"/>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Vercel</w:t>
            </w:r>
          </w:p>
          <w:p>
            <w:pPr>
              <w:jc w:val="center"/>
            </w:pPr>
            <w:r>
              <w:rPr>
                <w:rFonts w:ascii="Arial" w:cs="Arial" w:eastAsia="Arial" w:hAnsi="Arial"/>
                <w:b/>
                <w:bCs/>
                <w:color w:val="FFFFFF"/>
                <w:sz w:val="18"/>
                <w:szCs w:val="18"/>
              </w:rPr>
              <w:t xml:space="preserve">(1–5)</w:t>
            </w:r>
          </w:p>
        </w:tc>
        <w:tc>
          <w:tcPr>
            <w:tcW w:type="dxa" w:w="855"/>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Pond.</w:t>
            </w:r>
          </w:p>
        </w:tc>
        <w:tc>
          <w:tcPr>
            <w:tcW w:type="dxa" w:w="1045"/>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Netlify</w:t>
            </w:r>
          </w:p>
          <w:p>
            <w:pPr>
              <w:jc w:val="center"/>
            </w:pPr>
            <w:r>
              <w:rPr>
                <w:rFonts w:ascii="Arial" w:cs="Arial" w:eastAsia="Arial" w:hAnsi="Arial"/>
                <w:b/>
                <w:bCs/>
                <w:color w:val="FFFFFF"/>
                <w:sz w:val="18"/>
                <w:szCs w:val="18"/>
              </w:rPr>
              <w:t xml:space="preserve">(1–5)</w:t>
            </w:r>
          </w:p>
        </w:tc>
        <w:tc>
          <w:tcPr>
            <w:tcW w:type="dxa" w:w="855"/>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Pond.</w:t>
            </w:r>
          </w:p>
        </w:tc>
        <w:tc>
          <w:tcPr>
            <w:tcW w:type="dxa" w:w="1045"/>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Render</w:t>
            </w:r>
          </w:p>
          <w:p>
            <w:pPr>
              <w:jc w:val="center"/>
            </w:pPr>
            <w:r>
              <w:rPr>
                <w:rFonts w:ascii="Arial" w:cs="Arial" w:eastAsia="Arial" w:hAnsi="Arial"/>
                <w:b/>
                <w:bCs/>
                <w:color w:val="FFFFFF"/>
                <w:sz w:val="18"/>
                <w:szCs w:val="18"/>
              </w:rPr>
              <w:t xml:space="preserve">(1–5)</w:t>
            </w:r>
          </w:p>
        </w:tc>
        <w:tc>
          <w:tcPr>
            <w:tcW w:type="dxa" w:w="856"/>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Pond.</w:t>
            </w:r>
          </w:p>
        </w:tc>
      </w:tr>
      <w:tr>
        <w:trPr>
          <w:cantSplit/>
        </w:trPr>
        <w:tc>
          <w:tcPr>
            <w:tcW w:type="dxa" w:w="285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Costo</w:t>
            </w:r>
          </w:p>
        </w:tc>
        <w:tc>
          <w:tcPr>
            <w:tcW w:type="dxa" w:w="85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20 %</w:t>
            </w:r>
          </w:p>
        </w:tc>
        <w:tc>
          <w:tcPr>
            <w:tcW w:type="dxa" w:w="104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85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1,00</w:t>
            </w:r>
          </w:p>
        </w:tc>
        <w:tc>
          <w:tcPr>
            <w:tcW w:type="dxa" w:w="104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85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1,00</w:t>
            </w:r>
          </w:p>
        </w:tc>
        <w:tc>
          <w:tcPr>
            <w:tcW w:type="dxa" w:w="104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4</w:t>
            </w:r>
          </w:p>
        </w:tc>
        <w:tc>
          <w:tcPr>
            <w:tcW w:type="dxa" w:w="856"/>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0,80</w:t>
            </w:r>
          </w:p>
        </w:tc>
      </w:tr>
      <w:tr>
        <w:trPr>
          <w:cantSplit/>
        </w:trPr>
        <w:tc>
          <w:tcPr>
            <w:tcW w:type="dxa" w:w="285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Integración con Git / CI</w:t>
            </w:r>
          </w:p>
        </w:tc>
        <w:tc>
          <w:tcPr>
            <w:tcW w:type="dxa" w:w="85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20 %</w:t>
            </w:r>
          </w:p>
        </w:tc>
        <w:tc>
          <w:tcPr>
            <w:tcW w:type="dxa" w:w="104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85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1,00</w:t>
            </w:r>
          </w:p>
        </w:tc>
        <w:tc>
          <w:tcPr>
            <w:tcW w:type="dxa" w:w="104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85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1,00</w:t>
            </w:r>
          </w:p>
        </w:tc>
        <w:tc>
          <w:tcPr>
            <w:tcW w:type="dxa" w:w="104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4</w:t>
            </w:r>
          </w:p>
        </w:tc>
        <w:tc>
          <w:tcPr>
            <w:tcW w:type="dxa" w:w="856"/>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0,80</w:t>
            </w:r>
          </w:p>
        </w:tc>
      </w:tr>
      <w:tr>
        <w:trPr>
          <w:cantSplit/>
        </w:trPr>
        <w:tc>
          <w:tcPr>
            <w:tcW w:type="dxa" w:w="285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Funciones serverless</w:t>
            </w:r>
          </w:p>
        </w:tc>
        <w:tc>
          <w:tcPr>
            <w:tcW w:type="dxa" w:w="85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20 %</w:t>
            </w:r>
          </w:p>
        </w:tc>
        <w:tc>
          <w:tcPr>
            <w:tcW w:type="dxa" w:w="104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85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1,00</w:t>
            </w:r>
          </w:p>
        </w:tc>
        <w:tc>
          <w:tcPr>
            <w:tcW w:type="dxa" w:w="104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4</w:t>
            </w:r>
          </w:p>
        </w:tc>
        <w:tc>
          <w:tcPr>
            <w:tcW w:type="dxa" w:w="85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0,80</w:t>
            </w:r>
          </w:p>
        </w:tc>
        <w:tc>
          <w:tcPr>
            <w:tcW w:type="dxa" w:w="104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3</w:t>
            </w:r>
          </w:p>
        </w:tc>
        <w:tc>
          <w:tcPr>
            <w:tcW w:type="dxa" w:w="856"/>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0,60</w:t>
            </w:r>
          </w:p>
        </w:tc>
      </w:tr>
      <w:tr>
        <w:trPr>
          <w:cantSplit/>
        </w:trPr>
        <w:tc>
          <w:tcPr>
            <w:tcW w:type="dxa" w:w="285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CDN y rendimiento</w:t>
            </w:r>
          </w:p>
        </w:tc>
        <w:tc>
          <w:tcPr>
            <w:tcW w:type="dxa" w:w="85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15 %</w:t>
            </w:r>
          </w:p>
        </w:tc>
        <w:tc>
          <w:tcPr>
            <w:tcW w:type="dxa" w:w="104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85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0,75</w:t>
            </w:r>
          </w:p>
        </w:tc>
        <w:tc>
          <w:tcPr>
            <w:tcW w:type="dxa" w:w="104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85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0,75</w:t>
            </w:r>
          </w:p>
        </w:tc>
        <w:tc>
          <w:tcPr>
            <w:tcW w:type="dxa" w:w="104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3</w:t>
            </w:r>
          </w:p>
        </w:tc>
        <w:tc>
          <w:tcPr>
            <w:tcW w:type="dxa" w:w="856"/>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0,45</w:t>
            </w:r>
          </w:p>
        </w:tc>
      </w:tr>
      <w:tr>
        <w:trPr>
          <w:cantSplit/>
        </w:trPr>
        <w:tc>
          <w:tcPr>
            <w:tcW w:type="dxa" w:w="285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Seguridad (TLS, cabeceras)</w:t>
            </w:r>
          </w:p>
        </w:tc>
        <w:tc>
          <w:tcPr>
            <w:tcW w:type="dxa" w:w="85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15 %</w:t>
            </w:r>
          </w:p>
        </w:tc>
        <w:tc>
          <w:tcPr>
            <w:tcW w:type="dxa" w:w="104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85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0,75</w:t>
            </w:r>
          </w:p>
        </w:tc>
        <w:tc>
          <w:tcPr>
            <w:tcW w:type="dxa" w:w="104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85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0,75</w:t>
            </w:r>
          </w:p>
        </w:tc>
        <w:tc>
          <w:tcPr>
            <w:tcW w:type="dxa" w:w="104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4</w:t>
            </w:r>
          </w:p>
        </w:tc>
        <w:tc>
          <w:tcPr>
            <w:tcW w:type="dxa" w:w="856"/>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0,60</w:t>
            </w:r>
          </w:p>
        </w:tc>
      </w:tr>
      <w:tr>
        <w:trPr>
          <w:cantSplit/>
        </w:trPr>
        <w:tc>
          <w:tcPr>
            <w:tcW w:type="dxa" w:w="285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Tareas programadas (cron)</w:t>
            </w:r>
          </w:p>
        </w:tc>
        <w:tc>
          <w:tcPr>
            <w:tcW w:type="dxa" w:w="85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10 %</w:t>
            </w:r>
          </w:p>
        </w:tc>
        <w:tc>
          <w:tcPr>
            <w:tcW w:type="dxa" w:w="104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4</w:t>
            </w:r>
          </w:p>
        </w:tc>
        <w:tc>
          <w:tcPr>
            <w:tcW w:type="dxa" w:w="85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0,40</w:t>
            </w:r>
          </w:p>
        </w:tc>
        <w:tc>
          <w:tcPr>
            <w:tcW w:type="dxa" w:w="104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3</w:t>
            </w:r>
          </w:p>
        </w:tc>
        <w:tc>
          <w:tcPr>
            <w:tcW w:type="dxa" w:w="85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0,30</w:t>
            </w:r>
          </w:p>
        </w:tc>
        <w:tc>
          <w:tcPr>
            <w:tcW w:type="dxa" w:w="104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4</w:t>
            </w:r>
          </w:p>
        </w:tc>
        <w:tc>
          <w:tcPr>
            <w:tcW w:type="dxa" w:w="856"/>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0,40</w:t>
            </w:r>
          </w:p>
        </w:tc>
      </w:tr>
      <w:tr>
        <w:trPr>
          <w:cantSplit/>
        </w:trPr>
        <w:tc>
          <w:tcPr>
            <w:tcW w:type="dxa" w:w="2850"/>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left"/>
            </w:pPr>
            <w:r>
              <w:rPr>
                <w:rFonts w:ascii="Arial" w:cs="Arial" w:eastAsia="Arial" w:hAnsi="Arial"/>
                <w:b/>
                <w:bCs/>
                <w:sz w:val="18"/>
                <w:szCs w:val="18"/>
              </w:rPr>
              <w:t xml:space="preserve">Total ponderado</w:t>
            </w:r>
          </w:p>
        </w:tc>
        <w:tc>
          <w:tcPr>
            <w:tcW w:type="dxa" w:w="855"/>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r>
              <w:rPr>
                <w:rFonts w:ascii="Arial" w:cs="Arial" w:eastAsia="Arial" w:hAnsi="Arial"/>
                <w:b/>
                <w:bCs/>
                <w:sz w:val="18"/>
                <w:szCs w:val="18"/>
              </w:rPr>
              <w:t xml:space="preserve">100 %</w:t>
            </w:r>
          </w:p>
        </w:tc>
        <w:tc>
          <w:tcPr>
            <w:tcW w:type="dxa" w:w="1045"/>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p>
        </w:tc>
        <w:tc>
          <w:tcPr>
            <w:tcW w:type="dxa" w:w="855"/>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r>
              <w:rPr>
                <w:rFonts w:ascii="Arial" w:cs="Arial" w:eastAsia="Arial" w:hAnsi="Arial"/>
                <w:b/>
                <w:bCs/>
                <w:sz w:val="18"/>
                <w:szCs w:val="18"/>
              </w:rPr>
              <w:t xml:space="preserve">4,90</w:t>
            </w:r>
          </w:p>
        </w:tc>
        <w:tc>
          <w:tcPr>
            <w:tcW w:type="dxa" w:w="1045"/>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p>
        </w:tc>
        <w:tc>
          <w:tcPr>
            <w:tcW w:type="dxa" w:w="855"/>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r>
              <w:rPr>
                <w:rFonts w:ascii="Arial" w:cs="Arial" w:eastAsia="Arial" w:hAnsi="Arial"/>
                <w:b/>
                <w:bCs/>
                <w:sz w:val="18"/>
                <w:szCs w:val="18"/>
              </w:rPr>
              <w:t xml:space="preserve">4,60</w:t>
            </w:r>
          </w:p>
        </w:tc>
        <w:tc>
          <w:tcPr>
            <w:tcW w:type="dxa" w:w="1045"/>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p>
        </w:tc>
        <w:tc>
          <w:tcPr>
            <w:tcW w:type="dxa" w:w="856"/>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r>
              <w:rPr>
                <w:rFonts w:ascii="Arial" w:cs="Arial" w:eastAsia="Arial" w:hAnsi="Arial"/>
                <w:b/>
                <w:bCs/>
                <w:sz w:val="18"/>
                <w:szCs w:val="18"/>
              </w:rPr>
              <w:t xml:space="preserve">3,65</w:t>
            </w:r>
          </w:p>
        </w:tc>
      </w:tr>
    </w:tbl>
    <w:p>
      <w:pPr>
        <w:keepNext/>
        <w:spacing w:after="0" w:before="160"/>
      </w:pPr>
      <w:r>
        <w:rPr>
          <w:rFonts w:ascii="Arial" w:cs="Arial" w:eastAsia="Arial" w:hAnsi="Arial"/>
          <w:b/>
          <w:bCs/>
          <w:sz w:val="20"/>
          <w:szCs w:val="20"/>
        </w:rPr>
        <w:t xml:space="preserve">Tabla 8</w:t>
      </w:r>
    </w:p>
    <w:p>
      <w:pPr>
        <w:keepNext/>
        <w:spacing w:after="80"/>
      </w:pPr>
      <w:r>
        <w:rPr>
          <w:rFonts w:ascii="Arial" w:cs="Arial" w:eastAsia="Arial" w:hAnsi="Arial"/>
          <w:i/>
          <w:iCs/>
          <w:sz w:val="20"/>
          <w:szCs w:val="20"/>
        </w:rPr>
        <w:t xml:space="preserve">Matriz ponderada: pasarela de pagos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850"/>
        <w:gridCol w:w="855"/>
        <w:gridCol w:w="1045"/>
        <w:gridCol w:w="855"/>
        <w:gridCol w:w="1045"/>
        <w:gridCol w:w="855"/>
        <w:gridCol w:w="1045"/>
        <w:gridCol w:w="856"/>
      </w:tblGrid>
      <w:tr>
        <w:trPr>
          <w:tblHeader/>
        </w:trPr>
        <w:tc>
          <w:tcPr>
            <w:tcW w:type="dxa" w:w="285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Criterio</w:t>
            </w:r>
          </w:p>
        </w:tc>
        <w:tc>
          <w:tcPr>
            <w:tcW w:type="dxa" w:w="855"/>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Peso</w:t>
            </w:r>
          </w:p>
        </w:tc>
        <w:tc>
          <w:tcPr>
            <w:tcW w:type="dxa" w:w="1045"/>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Webpay</w:t>
            </w:r>
          </w:p>
          <w:p>
            <w:pPr>
              <w:jc w:val="center"/>
            </w:pPr>
            <w:r>
              <w:rPr>
                <w:rFonts w:ascii="Arial" w:cs="Arial" w:eastAsia="Arial" w:hAnsi="Arial"/>
                <w:b/>
                <w:bCs/>
                <w:color w:val="FFFFFF"/>
                <w:sz w:val="18"/>
                <w:szCs w:val="18"/>
              </w:rPr>
              <w:t xml:space="preserve">(1–5)</w:t>
            </w:r>
          </w:p>
        </w:tc>
        <w:tc>
          <w:tcPr>
            <w:tcW w:type="dxa" w:w="855"/>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Pond.</w:t>
            </w:r>
          </w:p>
        </w:tc>
        <w:tc>
          <w:tcPr>
            <w:tcW w:type="dxa" w:w="1045"/>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Mercado Pago</w:t>
            </w:r>
          </w:p>
          <w:p>
            <w:pPr>
              <w:jc w:val="center"/>
            </w:pPr>
            <w:r>
              <w:rPr>
                <w:rFonts w:ascii="Arial" w:cs="Arial" w:eastAsia="Arial" w:hAnsi="Arial"/>
                <w:b/>
                <w:bCs/>
                <w:color w:val="FFFFFF"/>
                <w:sz w:val="18"/>
                <w:szCs w:val="18"/>
              </w:rPr>
              <w:t xml:space="preserve">(1–5)</w:t>
            </w:r>
          </w:p>
        </w:tc>
        <w:tc>
          <w:tcPr>
            <w:tcW w:type="dxa" w:w="855"/>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Pond.</w:t>
            </w:r>
          </w:p>
        </w:tc>
        <w:tc>
          <w:tcPr>
            <w:tcW w:type="dxa" w:w="1045"/>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Flow</w:t>
            </w:r>
          </w:p>
          <w:p>
            <w:pPr>
              <w:jc w:val="center"/>
            </w:pPr>
            <w:r>
              <w:rPr>
                <w:rFonts w:ascii="Arial" w:cs="Arial" w:eastAsia="Arial" w:hAnsi="Arial"/>
                <w:b/>
                <w:bCs/>
                <w:color w:val="FFFFFF"/>
                <w:sz w:val="18"/>
                <w:szCs w:val="18"/>
              </w:rPr>
              <w:t xml:space="preserve">(1–5)</w:t>
            </w:r>
          </w:p>
        </w:tc>
        <w:tc>
          <w:tcPr>
            <w:tcW w:type="dxa" w:w="856"/>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Pond.</w:t>
            </w:r>
          </w:p>
        </w:tc>
      </w:tr>
      <w:tr>
        <w:trPr>
          <w:cantSplit/>
        </w:trPr>
        <w:tc>
          <w:tcPr>
            <w:tcW w:type="dxa" w:w="285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Cobertura de medios de pago chilenos</w:t>
            </w:r>
          </w:p>
        </w:tc>
        <w:tc>
          <w:tcPr>
            <w:tcW w:type="dxa" w:w="85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25 %</w:t>
            </w:r>
          </w:p>
        </w:tc>
        <w:tc>
          <w:tcPr>
            <w:tcW w:type="dxa" w:w="104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85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1,25</w:t>
            </w:r>
          </w:p>
        </w:tc>
        <w:tc>
          <w:tcPr>
            <w:tcW w:type="dxa" w:w="104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4</w:t>
            </w:r>
          </w:p>
        </w:tc>
        <w:tc>
          <w:tcPr>
            <w:tcW w:type="dxa" w:w="85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1,00</w:t>
            </w:r>
          </w:p>
        </w:tc>
        <w:tc>
          <w:tcPr>
            <w:tcW w:type="dxa" w:w="104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4</w:t>
            </w:r>
          </w:p>
        </w:tc>
        <w:tc>
          <w:tcPr>
            <w:tcW w:type="dxa" w:w="856"/>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1,00</w:t>
            </w:r>
          </w:p>
        </w:tc>
      </w:tr>
      <w:tr>
        <w:trPr>
          <w:cantSplit/>
        </w:trPr>
        <w:tc>
          <w:tcPr>
            <w:tcW w:type="dxa" w:w="285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Costo por transacción</w:t>
            </w:r>
          </w:p>
        </w:tc>
        <w:tc>
          <w:tcPr>
            <w:tcW w:type="dxa" w:w="85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15 %</w:t>
            </w:r>
          </w:p>
        </w:tc>
        <w:tc>
          <w:tcPr>
            <w:tcW w:type="dxa" w:w="104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4</w:t>
            </w:r>
          </w:p>
        </w:tc>
        <w:tc>
          <w:tcPr>
            <w:tcW w:type="dxa" w:w="85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0,60</w:t>
            </w:r>
          </w:p>
        </w:tc>
        <w:tc>
          <w:tcPr>
            <w:tcW w:type="dxa" w:w="104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3</w:t>
            </w:r>
          </w:p>
        </w:tc>
        <w:tc>
          <w:tcPr>
            <w:tcW w:type="dxa" w:w="85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0,45</w:t>
            </w:r>
          </w:p>
        </w:tc>
        <w:tc>
          <w:tcPr>
            <w:tcW w:type="dxa" w:w="104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4</w:t>
            </w:r>
          </w:p>
        </w:tc>
        <w:tc>
          <w:tcPr>
            <w:tcW w:type="dxa" w:w="856"/>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0,60</w:t>
            </w:r>
          </w:p>
        </w:tc>
      </w:tr>
      <w:tr>
        <w:trPr>
          <w:cantSplit/>
        </w:trPr>
        <w:tc>
          <w:tcPr>
            <w:tcW w:type="dxa" w:w="285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Tokenización / cargos sin re-ingreso</w:t>
            </w:r>
          </w:p>
        </w:tc>
        <w:tc>
          <w:tcPr>
            <w:tcW w:type="dxa" w:w="85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15 %</w:t>
            </w:r>
          </w:p>
        </w:tc>
        <w:tc>
          <w:tcPr>
            <w:tcW w:type="dxa" w:w="104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85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0,75</w:t>
            </w:r>
          </w:p>
        </w:tc>
        <w:tc>
          <w:tcPr>
            <w:tcW w:type="dxa" w:w="104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4</w:t>
            </w:r>
          </w:p>
        </w:tc>
        <w:tc>
          <w:tcPr>
            <w:tcW w:type="dxa" w:w="85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0,60</w:t>
            </w:r>
          </w:p>
        </w:tc>
        <w:tc>
          <w:tcPr>
            <w:tcW w:type="dxa" w:w="104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3</w:t>
            </w:r>
          </w:p>
        </w:tc>
        <w:tc>
          <w:tcPr>
            <w:tcW w:type="dxa" w:w="856"/>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0,45</w:t>
            </w:r>
          </w:p>
        </w:tc>
      </w:tr>
      <w:tr>
        <w:trPr>
          <w:cantSplit/>
        </w:trPr>
        <w:tc>
          <w:tcPr>
            <w:tcW w:type="dxa" w:w="285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Documentación y SDK</w:t>
            </w:r>
          </w:p>
        </w:tc>
        <w:tc>
          <w:tcPr>
            <w:tcW w:type="dxa" w:w="85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15 %</w:t>
            </w:r>
          </w:p>
        </w:tc>
        <w:tc>
          <w:tcPr>
            <w:tcW w:type="dxa" w:w="104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4</w:t>
            </w:r>
          </w:p>
        </w:tc>
        <w:tc>
          <w:tcPr>
            <w:tcW w:type="dxa" w:w="85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0,60</w:t>
            </w:r>
          </w:p>
        </w:tc>
        <w:tc>
          <w:tcPr>
            <w:tcW w:type="dxa" w:w="104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85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0,75</w:t>
            </w:r>
          </w:p>
        </w:tc>
        <w:tc>
          <w:tcPr>
            <w:tcW w:type="dxa" w:w="104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4</w:t>
            </w:r>
          </w:p>
        </w:tc>
        <w:tc>
          <w:tcPr>
            <w:tcW w:type="dxa" w:w="856"/>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0,60</w:t>
            </w:r>
          </w:p>
        </w:tc>
      </w:tr>
      <w:tr>
        <w:trPr>
          <w:cantSplit/>
        </w:trPr>
        <w:tc>
          <w:tcPr>
            <w:tcW w:type="dxa" w:w="285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Confianza del usuario</w:t>
            </w:r>
          </w:p>
        </w:tc>
        <w:tc>
          <w:tcPr>
            <w:tcW w:type="dxa" w:w="85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15 %</w:t>
            </w:r>
          </w:p>
        </w:tc>
        <w:tc>
          <w:tcPr>
            <w:tcW w:type="dxa" w:w="104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85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0,75</w:t>
            </w:r>
          </w:p>
        </w:tc>
        <w:tc>
          <w:tcPr>
            <w:tcW w:type="dxa" w:w="104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4</w:t>
            </w:r>
          </w:p>
        </w:tc>
        <w:tc>
          <w:tcPr>
            <w:tcW w:type="dxa" w:w="85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0,60</w:t>
            </w:r>
          </w:p>
        </w:tc>
        <w:tc>
          <w:tcPr>
            <w:tcW w:type="dxa" w:w="104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3</w:t>
            </w:r>
          </w:p>
        </w:tc>
        <w:tc>
          <w:tcPr>
            <w:tcW w:type="dxa" w:w="856"/>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0,45</w:t>
            </w:r>
          </w:p>
        </w:tc>
      </w:tr>
      <w:tr>
        <w:trPr>
          <w:cantSplit/>
        </w:trPr>
        <w:tc>
          <w:tcPr>
            <w:tcW w:type="dxa" w:w="285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Reembolsos por API</w:t>
            </w:r>
          </w:p>
        </w:tc>
        <w:tc>
          <w:tcPr>
            <w:tcW w:type="dxa" w:w="85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15 %</w:t>
            </w:r>
          </w:p>
        </w:tc>
        <w:tc>
          <w:tcPr>
            <w:tcW w:type="dxa" w:w="104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85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0,75</w:t>
            </w:r>
          </w:p>
        </w:tc>
        <w:tc>
          <w:tcPr>
            <w:tcW w:type="dxa" w:w="104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4</w:t>
            </w:r>
          </w:p>
        </w:tc>
        <w:tc>
          <w:tcPr>
            <w:tcW w:type="dxa" w:w="85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0,60</w:t>
            </w:r>
          </w:p>
        </w:tc>
        <w:tc>
          <w:tcPr>
            <w:tcW w:type="dxa" w:w="104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4</w:t>
            </w:r>
          </w:p>
        </w:tc>
        <w:tc>
          <w:tcPr>
            <w:tcW w:type="dxa" w:w="856"/>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0,60</w:t>
            </w:r>
          </w:p>
        </w:tc>
      </w:tr>
      <w:tr>
        <w:trPr>
          <w:cantSplit/>
        </w:trPr>
        <w:tc>
          <w:tcPr>
            <w:tcW w:type="dxa" w:w="2850"/>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left"/>
            </w:pPr>
            <w:r>
              <w:rPr>
                <w:rFonts w:ascii="Arial" w:cs="Arial" w:eastAsia="Arial" w:hAnsi="Arial"/>
                <w:b/>
                <w:bCs/>
                <w:sz w:val="18"/>
                <w:szCs w:val="18"/>
              </w:rPr>
              <w:t xml:space="preserve">Total ponderado</w:t>
            </w:r>
          </w:p>
        </w:tc>
        <w:tc>
          <w:tcPr>
            <w:tcW w:type="dxa" w:w="855"/>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r>
              <w:rPr>
                <w:rFonts w:ascii="Arial" w:cs="Arial" w:eastAsia="Arial" w:hAnsi="Arial"/>
                <w:b/>
                <w:bCs/>
                <w:sz w:val="18"/>
                <w:szCs w:val="18"/>
              </w:rPr>
              <w:t xml:space="preserve">100 %</w:t>
            </w:r>
          </w:p>
        </w:tc>
        <w:tc>
          <w:tcPr>
            <w:tcW w:type="dxa" w:w="1045"/>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p>
        </w:tc>
        <w:tc>
          <w:tcPr>
            <w:tcW w:type="dxa" w:w="855"/>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r>
              <w:rPr>
                <w:rFonts w:ascii="Arial" w:cs="Arial" w:eastAsia="Arial" w:hAnsi="Arial"/>
                <w:b/>
                <w:bCs/>
                <w:sz w:val="18"/>
                <w:szCs w:val="18"/>
              </w:rPr>
              <w:t xml:space="preserve">4,70</w:t>
            </w:r>
          </w:p>
        </w:tc>
        <w:tc>
          <w:tcPr>
            <w:tcW w:type="dxa" w:w="1045"/>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p>
        </w:tc>
        <w:tc>
          <w:tcPr>
            <w:tcW w:type="dxa" w:w="855"/>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r>
              <w:rPr>
                <w:rFonts w:ascii="Arial" w:cs="Arial" w:eastAsia="Arial" w:hAnsi="Arial"/>
                <w:b/>
                <w:bCs/>
                <w:sz w:val="18"/>
                <w:szCs w:val="18"/>
              </w:rPr>
              <w:t xml:space="preserve">4,00</w:t>
            </w:r>
          </w:p>
        </w:tc>
        <w:tc>
          <w:tcPr>
            <w:tcW w:type="dxa" w:w="1045"/>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p>
        </w:tc>
        <w:tc>
          <w:tcPr>
            <w:tcW w:type="dxa" w:w="856"/>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r>
              <w:rPr>
                <w:rFonts w:ascii="Arial" w:cs="Arial" w:eastAsia="Arial" w:hAnsi="Arial"/>
                <w:b/>
                <w:bCs/>
                <w:sz w:val="18"/>
                <w:szCs w:val="18"/>
              </w:rPr>
              <w:t xml:space="preserve">3,70</w:t>
            </w:r>
          </w:p>
        </w:tc>
      </w:tr>
    </w:tbl>
    <w:p>
      <w:pPr>
        <w:keepNext/>
        <w:spacing w:after="0" w:before="160"/>
      </w:pPr>
      <w:r>
        <w:rPr>
          <w:rFonts w:ascii="Arial" w:cs="Arial" w:eastAsia="Arial" w:hAnsi="Arial"/>
          <w:b/>
          <w:bCs/>
          <w:sz w:val="20"/>
          <w:szCs w:val="20"/>
        </w:rPr>
        <w:t xml:space="preserve">Tabla 9</w:t>
      </w:r>
    </w:p>
    <w:p>
      <w:pPr>
        <w:keepNext/>
        <w:spacing w:after="80"/>
      </w:pPr>
      <w:r>
        <w:rPr>
          <w:rFonts w:ascii="Arial" w:cs="Arial" w:eastAsia="Arial" w:hAnsi="Arial"/>
          <w:i/>
          <w:iCs/>
          <w:sz w:val="20"/>
          <w:szCs w:val="20"/>
        </w:rPr>
        <w:t xml:space="preserve">Matriz ponderada: lenguaje de programación</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572"/>
        <w:gridCol w:w="1072"/>
        <w:gridCol w:w="1310"/>
        <w:gridCol w:w="1072"/>
        <w:gridCol w:w="1310"/>
        <w:gridCol w:w="1070"/>
      </w:tblGrid>
      <w:tr>
        <w:trPr>
          <w:tblHeader/>
        </w:trPr>
        <w:tc>
          <w:tcPr>
            <w:tcW w:type="dxa" w:w="3572"/>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Criterio</w:t>
            </w:r>
          </w:p>
        </w:tc>
        <w:tc>
          <w:tcPr>
            <w:tcW w:type="dxa" w:w="1072"/>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Peso</w:t>
            </w:r>
          </w:p>
        </w:tc>
        <w:tc>
          <w:tcPr>
            <w:tcW w:type="dxa" w:w="131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TypeScript</w:t>
            </w:r>
          </w:p>
          <w:p>
            <w:pPr>
              <w:jc w:val="center"/>
            </w:pPr>
            <w:r>
              <w:rPr>
                <w:rFonts w:ascii="Arial" w:cs="Arial" w:eastAsia="Arial" w:hAnsi="Arial"/>
                <w:b/>
                <w:bCs/>
                <w:color w:val="FFFFFF"/>
                <w:sz w:val="18"/>
                <w:szCs w:val="18"/>
              </w:rPr>
              <w:t xml:space="preserve">(1–5)</w:t>
            </w:r>
          </w:p>
        </w:tc>
        <w:tc>
          <w:tcPr>
            <w:tcW w:type="dxa" w:w="1072"/>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Pond.</w:t>
            </w:r>
          </w:p>
        </w:tc>
        <w:tc>
          <w:tcPr>
            <w:tcW w:type="dxa" w:w="131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JavaScript</w:t>
            </w:r>
          </w:p>
          <w:p>
            <w:pPr>
              <w:jc w:val="center"/>
            </w:pPr>
            <w:r>
              <w:rPr>
                <w:rFonts w:ascii="Arial" w:cs="Arial" w:eastAsia="Arial" w:hAnsi="Arial"/>
                <w:b/>
                <w:bCs/>
                <w:color w:val="FFFFFF"/>
                <w:sz w:val="18"/>
                <w:szCs w:val="18"/>
              </w:rPr>
              <w:t xml:space="preserve">(1–5)</w:t>
            </w:r>
          </w:p>
        </w:tc>
        <w:tc>
          <w:tcPr>
            <w:tcW w:type="dxa" w:w="107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Pond.</w:t>
            </w:r>
          </w:p>
        </w:tc>
      </w:tr>
      <w:tr>
        <w:trPr>
          <w:cantSplit/>
        </w:trPr>
        <w:tc>
          <w:tcPr>
            <w:tcW w:type="dxa" w:w="3572"/>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Detección temprana de errores</w:t>
            </w:r>
          </w:p>
        </w:tc>
        <w:tc>
          <w:tcPr>
            <w:tcW w:type="dxa" w:w="1072"/>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30 %</w:t>
            </w:r>
          </w:p>
        </w:tc>
        <w:tc>
          <w:tcPr>
            <w:tcW w:type="dxa" w:w="131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1072"/>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1,50</w:t>
            </w:r>
          </w:p>
        </w:tc>
        <w:tc>
          <w:tcPr>
            <w:tcW w:type="dxa" w:w="131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2</w:t>
            </w:r>
          </w:p>
        </w:tc>
        <w:tc>
          <w:tcPr>
            <w:tcW w:type="dxa" w:w="107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0,60</w:t>
            </w:r>
          </w:p>
        </w:tc>
      </w:tr>
      <w:tr>
        <w:trPr>
          <w:cantSplit/>
        </w:trPr>
        <w:tc>
          <w:tcPr>
            <w:tcW w:type="dxa" w:w="3572"/>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Mantenibilidad</w:t>
            </w:r>
          </w:p>
        </w:tc>
        <w:tc>
          <w:tcPr>
            <w:tcW w:type="dxa" w:w="1072"/>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25 %</w:t>
            </w:r>
          </w:p>
        </w:tc>
        <w:tc>
          <w:tcPr>
            <w:tcW w:type="dxa" w:w="131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1072"/>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1,25</w:t>
            </w:r>
          </w:p>
        </w:tc>
        <w:tc>
          <w:tcPr>
            <w:tcW w:type="dxa" w:w="131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3</w:t>
            </w:r>
          </w:p>
        </w:tc>
        <w:tc>
          <w:tcPr>
            <w:tcW w:type="dxa" w:w="107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0,75</w:t>
            </w:r>
          </w:p>
        </w:tc>
      </w:tr>
      <w:tr>
        <w:trPr>
          <w:cantSplit/>
        </w:trPr>
        <w:tc>
          <w:tcPr>
            <w:tcW w:type="dxa" w:w="3572"/>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Productividad</w:t>
            </w:r>
          </w:p>
        </w:tc>
        <w:tc>
          <w:tcPr>
            <w:tcW w:type="dxa" w:w="1072"/>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20 %</w:t>
            </w:r>
          </w:p>
        </w:tc>
        <w:tc>
          <w:tcPr>
            <w:tcW w:type="dxa" w:w="131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4</w:t>
            </w:r>
          </w:p>
        </w:tc>
        <w:tc>
          <w:tcPr>
            <w:tcW w:type="dxa" w:w="1072"/>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0,80</w:t>
            </w:r>
          </w:p>
        </w:tc>
        <w:tc>
          <w:tcPr>
            <w:tcW w:type="dxa" w:w="131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4</w:t>
            </w:r>
          </w:p>
        </w:tc>
        <w:tc>
          <w:tcPr>
            <w:tcW w:type="dxa" w:w="107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0,80</w:t>
            </w:r>
          </w:p>
        </w:tc>
      </w:tr>
      <w:tr>
        <w:trPr>
          <w:cantSplit/>
        </w:trPr>
        <w:tc>
          <w:tcPr>
            <w:tcW w:type="dxa" w:w="3572"/>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Curva de aprendizaje</w:t>
            </w:r>
          </w:p>
        </w:tc>
        <w:tc>
          <w:tcPr>
            <w:tcW w:type="dxa" w:w="1072"/>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15 %</w:t>
            </w:r>
          </w:p>
        </w:tc>
        <w:tc>
          <w:tcPr>
            <w:tcW w:type="dxa" w:w="131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3</w:t>
            </w:r>
          </w:p>
        </w:tc>
        <w:tc>
          <w:tcPr>
            <w:tcW w:type="dxa" w:w="1072"/>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0,45</w:t>
            </w:r>
          </w:p>
        </w:tc>
        <w:tc>
          <w:tcPr>
            <w:tcW w:type="dxa" w:w="131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107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0,75</w:t>
            </w:r>
          </w:p>
        </w:tc>
      </w:tr>
      <w:tr>
        <w:trPr>
          <w:cantSplit/>
        </w:trPr>
        <w:tc>
          <w:tcPr>
            <w:tcW w:type="dxa" w:w="3572"/>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Ecosistema</w:t>
            </w:r>
          </w:p>
        </w:tc>
        <w:tc>
          <w:tcPr>
            <w:tcW w:type="dxa" w:w="1072"/>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10 %</w:t>
            </w:r>
          </w:p>
        </w:tc>
        <w:tc>
          <w:tcPr>
            <w:tcW w:type="dxa" w:w="131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1072"/>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0,50</w:t>
            </w:r>
          </w:p>
        </w:tc>
        <w:tc>
          <w:tcPr>
            <w:tcW w:type="dxa" w:w="131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107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0,50</w:t>
            </w:r>
          </w:p>
        </w:tc>
      </w:tr>
      <w:tr>
        <w:trPr>
          <w:cantSplit/>
        </w:trPr>
        <w:tc>
          <w:tcPr>
            <w:tcW w:type="dxa" w:w="3572"/>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left"/>
            </w:pPr>
            <w:r>
              <w:rPr>
                <w:rFonts w:ascii="Arial" w:cs="Arial" w:eastAsia="Arial" w:hAnsi="Arial"/>
                <w:b/>
                <w:bCs/>
                <w:sz w:val="18"/>
                <w:szCs w:val="18"/>
              </w:rPr>
              <w:t xml:space="preserve">Total ponderado</w:t>
            </w:r>
          </w:p>
        </w:tc>
        <w:tc>
          <w:tcPr>
            <w:tcW w:type="dxa" w:w="1072"/>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r>
              <w:rPr>
                <w:rFonts w:ascii="Arial" w:cs="Arial" w:eastAsia="Arial" w:hAnsi="Arial"/>
                <w:b/>
                <w:bCs/>
                <w:sz w:val="18"/>
                <w:szCs w:val="18"/>
              </w:rPr>
              <w:t xml:space="preserve">100 %</w:t>
            </w:r>
          </w:p>
        </w:tc>
        <w:tc>
          <w:tcPr>
            <w:tcW w:type="dxa" w:w="1310"/>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p>
        </w:tc>
        <w:tc>
          <w:tcPr>
            <w:tcW w:type="dxa" w:w="1072"/>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r>
              <w:rPr>
                <w:rFonts w:ascii="Arial" w:cs="Arial" w:eastAsia="Arial" w:hAnsi="Arial"/>
                <w:b/>
                <w:bCs/>
                <w:sz w:val="18"/>
                <w:szCs w:val="18"/>
              </w:rPr>
              <w:t xml:space="preserve">4,50</w:t>
            </w:r>
          </w:p>
        </w:tc>
        <w:tc>
          <w:tcPr>
            <w:tcW w:type="dxa" w:w="1310"/>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p>
        </w:tc>
        <w:tc>
          <w:tcPr>
            <w:tcW w:type="dxa" w:w="1070"/>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r>
              <w:rPr>
                <w:rFonts w:ascii="Arial" w:cs="Arial" w:eastAsia="Arial" w:hAnsi="Arial"/>
                <w:b/>
                <w:bCs/>
                <w:sz w:val="18"/>
                <w:szCs w:val="18"/>
              </w:rPr>
              <w:t xml:space="preserve">3,40</w:t>
            </w:r>
          </w:p>
        </w:tc>
      </w:tr>
    </w:tbl>
    <w:p>
      <w:pPr>
        <w:keepNext/>
        <w:spacing w:after="0" w:before="160"/>
      </w:pPr>
      <w:r>
        <w:rPr>
          <w:rFonts w:ascii="Arial" w:cs="Arial" w:eastAsia="Arial" w:hAnsi="Arial"/>
          <w:b/>
          <w:bCs/>
          <w:sz w:val="20"/>
          <w:szCs w:val="20"/>
        </w:rPr>
        <w:t xml:space="preserve">Tabla 10</w:t>
      </w:r>
    </w:p>
    <w:p>
      <w:pPr>
        <w:keepNext/>
        <w:spacing w:after="80"/>
      </w:pPr>
      <w:r>
        <w:rPr>
          <w:rFonts w:ascii="Arial" w:cs="Arial" w:eastAsia="Arial" w:hAnsi="Arial"/>
          <w:i/>
          <w:iCs/>
          <w:sz w:val="20"/>
          <w:szCs w:val="20"/>
        </w:rPr>
        <w:t xml:space="preserve">Matriz ponderada: framework de pruebas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572"/>
        <w:gridCol w:w="1072"/>
        <w:gridCol w:w="1310"/>
        <w:gridCol w:w="1072"/>
        <w:gridCol w:w="1310"/>
        <w:gridCol w:w="1070"/>
      </w:tblGrid>
      <w:tr>
        <w:trPr>
          <w:tblHeader/>
        </w:trPr>
        <w:tc>
          <w:tcPr>
            <w:tcW w:type="dxa" w:w="3572"/>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Criterio</w:t>
            </w:r>
          </w:p>
        </w:tc>
        <w:tc>
          <w:tcPr>
            <w:tcW w:type="dxa" w:w="1072"/>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Peso</w:t>
            </w:r>
          </w:p>
        </w:tc>
        <w:tc>
          <w:tcPr>
            <w:tcW w:type="dxa" w:w="131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Vitest</w:t>
            </w:r>
          </w:p>
          <w:p>
            <w:pPr>
              <w:jc w:val="center"/>
            </w:pPr>
            <w:r>
              <w:rPr>
                <w:rFonts w:ascii="Arial" w:cs="Arial" w:eastAsia="Arial" w:hAnsi="Arial"/>
                <w:b/>
                <w:bCs/>
                <w:color w:val="FFFFFF"/>
                <w:sz w:val="18"/>
                <w:szCs w:val="18"/>
              </w:rPr>
              <w:t xml:space="preserve">(1–5)</w:t>
            </w:r>
          </w:p>
        </w:tc>
        <w:tc>
          <w:tcPr>
            <w:tcW w:type="dxa" w:w="1072"/>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Pond.</w:t>
            </w:r>
          </w:p>
        </w:tc>
        <w:tc>
          <w:tcPr>
            <w:tcW w:type="dxa" w:w="131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Jest</w:t>
            </w:r>
          </w:p>
          <w:p>
            <w:pPr>
              <w:jc w:val="center"/>
            </w:pPr>
            <w:r>
              <w:rPr>
                <w:rFonts w:ascii="Arial" w:cs="Arial" w:eastAsia="Arial" w:hAnsi="Arial"/>
                <w:b/>
                <w:bCs/>
                <w:color w:val="FFFFFF"/>
                <w:sz w:val="18"/>
                <w:szCs w:val="18"/>
              </w:rPr>
              <w:t xml:space="preserve">(1–5)</w:t>
            </w:r>
          </w:p>
        </w:tc>
        <w:tc>
          <w:tcPr>
            <w:tcW w:type="dxa" w:w="107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Pond.</w:t>
            </w:r>
          </w:p>
        </w:tc>
      </w:tr>
      <w:tr>
        <w:trPr>
          <w:cantSplit/>
        </w:trPr>
        <w:tc>
          <w:tcPr>
            <w:tcW w:type="dxa" w:w="3572"/>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Integración con Vite</w:t>
            </w:r>
          </w:p>
        </w:tc>
        <w:tc>
          <w:tcPr>
            <w:tcW w:type="dxa" w:w="1072"/>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35 %</w:t>
            </w:r>
          </w:p>
        </w:tc>
        <w:tc>
          <w:tcPr>
            <w:tcW w:type="dxa" w:w="131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1072"/>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1,75</w:t>
            </w:r>
          </w:p>
        </w:tc>
        <w:tc>
          <w:tcPr>
            <w:tcW w:type="dxa" w:w="131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2</w:t>
            </w:r>
          </w:p>
        </w:tc>
        <w:tc>
          <w:tcPr>
            <w:tcW w:type="dxa" w:w="107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0,70</w:t>
            </w:r>
          </w:p>
        </w:tc>
      </w:tr>
      <w:tr>
        <w:trPr>
          <w:cantSplit/>
        </w:trPr>
        <w:tc>
          <w:tcPr>
            <w:tcW w:type="dxa" w:w="3572"/>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Velocidad de ejecución</w:t>
            </w:r>
          </w:p>
        </w:tc>
        <w:tc>
          <w:tcPr>
            <w:tcW w:type="dxa" w:w="1072"/>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25 %</w:t>
            </w:r>
          </w:p>
        </w:tc>
        <w:tc>
          <w:tcPr>
            <w:tcW w:type="dxa" w:w="131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1072"/>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1,25</w:t>
            </w:r>
          </w:p>
        </w:tc>
        <w:tc>
          <w:tcPr>
            <w:tcW w:type="dxa" w:w="131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3</w:t>
            </w:r>
          </w:p>
        </w:tc>
        <w:tc>
          <w:tcPr>
            <w:tcW w:type="dxa" w:w="107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0,75</w:t>
            </w:r>
          </w:p>
        </w:tc>
      </w:tr>
      <w:tr>
        <w:trPr>
          <w:cantSplit/>
        </w:trPr>
        <w:tc>
          <w:tcPr>
            <w:tcW w:type="dxa" w:w="3572"/>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Compatibilidad de API</w:t>
            </w:r>
          </w:p>
        </w:tc>
        <w:tc>
          <w:tcPr>
            <w:tcW w:type="dxa" w:w="1072"/>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20 %</w:t>
            </w:r>
          </w:p>
        </w:tc>
        <w:tc>
          <w:tcPr>
            <w:tcW w:type="dxa" w:w="131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4</w:t>
            </w:r>
          </w:p>
        </w:tc>
        <w:tc>
          <w:tcPr>
            <w:tcW w:type="dxa" w:w="1072"/>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0,80</w:t>
            </w:r>
          </w:p>
        </w:tc>
        <w:tc>
          <w:tcPr>
            <w:tcW w:type="dxa" w:w="131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107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1,00</w:t>
            </w:r>
          </w:p>
        </w:tc>
      </w:tr>
      <w:tr>
        <w:trPr>
          <w:cantSplit/>
        </w:trPr>
        <w:tc>
          <w:tcPr>
            <w:tcW w:type="dxa" w:w="3572"/>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Configuración TS / ESM</w:t>
            </w:r>
          </w:p>
        </w:tc>
        <w:tc>
          <w:tcPr>
            <w:tcW w:type="dxa" w:w="1072"/>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20 %</w:t>
            </w:r>
          </w:p>
        </w:tc>
        <w:tc>
          <w:tcPr>
            <w:tcW w:type="dxa" w:w="131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1072"/>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1,00</w:t>
            </w:r>
          </w:p>
        </w:tc>
        <w:tc>
          <w:tcPr>
            <w:tcW w:type="dxa" w:w="131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3</w:t>
            </w:r>
          </w:p>
        </w:tc>
        <w:tc>
          <w:tcPr>
            <w:tcW w:type="dxa" w:w="107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0,60</w:t>
            </w:r>
          </w:p>
        </w:tc>
      </w:tr>
      <w:tr>
        <w:trPr>
          <w:cantSplit/>
        </w:trPr>
        <w:tc>
          <w:tcPr>
            <w:tcW w:type="dxa" w:w="3572"/>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left"/>
            </w:pPr>
            <w:r>
              <w:rPr>
                <w:rFonts w:ascii="Arial" w:cs="Arial" w:eastAsia="Arial" w:hAnsi="Arial"/>
                <w:b/>
                <w:bCs/>
                <w:sz w:val="18"/>
                <w:szCs w:val="18"/>
              </w:rPr>
              <w:t xml:space="preserve">Total ponderado</w:t>
            </w:r>
          </w:p>
        </w:tc>
        <w:tc>
          <w:tcPr>
            <w:tcW w:type="dxa" w:w="1072"/>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r>
              <w:rPr>
                <w:rFonts w:ascii="Arial" w:cs="Arial" w:eastAsia="Arial" w:hAnsi="Arial"/>
                <w:b/>
                <w:bCs/>
                <w:sz w:val="18"/>
                <w:szCs w:val="18"/>
              </w:rPr>
              <w:t xml:space="preserve">100 %</w:t>
            </w:r>
          </w:p>
        </w:tc>
        <w:tc>
          <w:tcPr>
            <w:tcW w:type="dxa" w:w="1310"/>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p>
        </w:tc>
        <w:tc>
          <w:tcPr>
            <w:tcW w:type="dxa" w:w="1072"/>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r>
              <w:rPr>
                <w:rFonts w:ascii="Arial" w:cs="Arial" w:eastAsia="Arial" w:hAnsi="Arial"/>
                <w:b/>
                <w:bCs/>
                <w:sz w:val="18"/>
                <w:szCs w:val="18"/>
              </w:rPr>
              <w:t xml:space="preserve">4,80</w:t>
            </w:r>
          </w:p>
        </w:tc>
        <w:tc>
          <w:tcPr>
            <w:tcW w:type="dxa" w:w="1310"/>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p>
        </w:tc>
        <w:tc>
          <w:tcPr>
            <w:tcW w:type="dxa" w:w="1070"/>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r>
              <w:rPr>
                <w:rFonts w:ascii="Arial" w:cs="Arial" w:eastAsia="Arial" w:hAnsi="Arial"/>
                <w:b/>
                <w:bCs/>
                <w:sz w:val="18"/>
                <w:szCs w:val="18"/>
              </w:rPr>
              <w:t xml:space="preserve">3,05</w:t>
            </w:r>
          </w:p>
        </w:tc>
      </w:tr>
    </w:tbl>
    <w:p>
      <w:pPr>
        <w:spacing w:after="180" w:before="60"/>
      </w:pPr>
      <w:r>
        <w:rPr>
          <w:rFonts w:ascii="Arial" w:cs="Arial" w:eastAsia="Arial" w:hAnsi="Arial"/>
          <w:i/>
          <w:iCs/>
          <w:sz w:val="18"/>
          <w:szCs w:val="18"/>
        </w:rPr>
        <w:t xml:space="preserve">Nota. </w:t>
      </w:r>
      <w:r>
        <w:rPr>
          <w:rFonts w:ascii="Arial" w:cs="Arial" w:eastAsia="Arial" w:hAnsi="Arial"/>
          <w:sz w:val="18"/>
          <w:szCs w:val="18"/>
        </w:rPr>
        <w:t xml:space="preserve">Calificación de 1 (muy deficiente) a 5 (excelente). Pond. = calificación × peso. Las calificaciones se basan en la documentación oficial de cada tecnología, la experiencia del equipo durante el prototipo y las condiciones de los planes vigentes a octubre de 2026.</w:t>
      </w:r>
    </w:p>
    <w:p>
      <w:pPr>
        <w:spacing w:after="140" w:line="260"/>
        <w:jc w:val="both"/>
      </w:pPr>
      <w:r>
        <w:rPr>
          <w:rFonts w:ascii="Arial" w:cs="Arial" w:eastAsia="Arial" w:hAnsi="Arial"/>
          <w:sz w:val="22"/>
          <w:szCs w:val="22"/>
        </w:rPr>
        <w:t xml:space="preserve">En todas las categorías la alternativa elegida obtuvo el mayor puntaje: React (4,85), Supabase (4,80), PostgreSQL (4,90), Vercel (4,90), Webpay (4,70), TypeScript (4,50) y Vitest (4,80). La diferencia más decisiva aparece en backend y base de datos: Firebase y MongoDB obtienen calificación 1–2 en criterios críticos (modelo relacional y restricciones), lo que las descarta para un sistema de reservas donde la sobreventa debe ser imposible.</w:t>
      </w:r>
    </w:p>
    <w:p>
      <w:pPr>
        <w:pStyle w:val="Heading3"/>
        <w:spacing w:after="100" w:before="180"/>
      </w:pPr>
      <w:r>
        <w:rPr>
          <w:rFonts w:ascii="Arial" w:cs="Arial" w:eastAsia="Arial" w:hAnsi="Arial"/>
          <w:b/>
          <w:bCs/>
          <w:sz w:val="22"/>
          <w:szCs w:val="22"/>
        </w:rPr>
        <w:t xml:space="preserve">d) Hardware y servicios TI</w:t>
      </w:r>
    </w:p>
    <w:p>
      <w:pPr>
        <w:spacing w:after="140" w:line="260"/>
        <w:jc w:val="both"/>
      </w:pPr>
      <w:r>
        <w:rPr>
          <w:rFonts w:ascii="Arial" w:cs="Arial" w:eastAsia="Arial" w:hAnsi="Arial"/>
          <w:sz w:val="22"/>
          <w:szCs w:val="22"/>
        </w:rPr>
        <w:t xml:space="preserve">Al ser una solución serverless, Spotly no requiere adquirir servidores. El hardware se limita a las estaciones de desarrollo del equipo y a los requisitos mínimos de los dispositivos de los usuarios.</w:t>
      </w:r>
    </w:p>
    <w:p>
      <w:pPr>
        <w:keepNext/>
        <w:spacing w:after="0" w:before="160"/>
      </w:pPr>
      <w:r>
        <w:rPr>
          <w:rFonts w:ascii="Arial" w:cs="Arial" w:eastAsia="Arial" w:hAnsi="Arial"/>
          <w:b/>
          <w:bCs/>
          <w:sz w:val="20"/>
          <w:szCs w:val="20"/>
        </w:rPr>
        <w:t xml:space="preserve">Tabla 11</w:t>
      </w:r>
    </w:p>
    <w:p>
      <w:pPr>
        <w:keepNext/>
        <w:spacing w:after="80"/>
      </w:pPr>
      <w:r>
        <w:rPr>
          <w:rFonts w:ascii="Arial" w:cs="Arial" w:eastAsia="Arial" w:hAnsi="Arial"/>
          <w:i/>
          <w:iCs/>
          <w:sz w:val="20"/>
          <w:szCs w:val="20"/>
        </w:rPr>
        <w:t xml:space="preserve">Requisitos de hardware</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693"/>
        <w:gridCol w:w="2540"/>
        <w:gridCol w:w="2540"/>
        <w:gridCol w:w="2633"/>
      </w:tblGrid>
      <w:tr>
        <w:trPr>
          <w:tblHeader/>
        </w:trPr>
        <w:tc>
          <w:tcPr>
            <w:tcW w:type="dxa" w:w="1693"/>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Ámbito</w:t>
            </w:r>
          </w:p>
        </w:tc>
        <w:tc>
          <w:tcPr>
            <w:tcW w:type="dxa" w:w="254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Mínimo</w:t>
            </w:r>
          </w:p>
        </w:tc>
        <w:tc>
          <w:tcPr>
            <w:tcW w:type="dxa" w:w="254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Recomendado</w:t>
            </w:r>
          </w:p>
        </w:tc>
        <w:tc>
          <w:tcPr>
            <w:tcW w:type="dxa" w:w="2633"/>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Justificación</w:t>
            </w:r>
          </w:p>
        </w:tc>
      </w:tr>
      <w:tr>
        <w:trPr>
          <w:cantSplit/>
        </w:trPr>
        <w:tc>
          <w:tcPr>
            <w:tcW w:type="dxa" w:w="169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Estación de desarrollo</w:t>
            </w:r>
          </w:p>
        </w:tc>
        <w:tc>
          <w:tcPr>
            <w:tcW w:type="dxa" w:w="254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CPU 4 núcleos, 8 GB RAM, SSD 256 GB</w:t>
            </w:r>
          </w:p>
        </w:tc>
        <w:tc>
          <w:tcPr>
            <w:tcW w:type="dxa" w:w="254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CPU 6–8 núcleos, 16 GB RAM, SSD 512 GB</w:t>
            </w:r>
          </w:p>
        </w:tc>
        <w:tc>
          <w:tcPr>
            <w:tcW w:type="dxa" w:w="263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Vite, TypeScript y Vitest en paralelo con navegador y editor</w:t>
            </w:r>
          </w:p>
        </w:tc>
      </w:tr>
      <w:tr>
        <w:trPr>
          <w:cantSplit/>
        </w:trPr>
        <w:tc>
          <w:tcPr>
            <w:tcW w:type="dxa" w:w="169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Dispositivo del usuario</w:t>
            </w:r>
          </w:p>
        </w:tc>
        <w:tc>
          <w:tcPr>
            <w:tcW w:type="dxa" w:w="254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Navegador moderno (Chrome, Edge, Firefox, Safari, últimas 2 versiones), 4 GB RAM</w:t>
            </w:r>
          </w:p>
        </w:tc>
        <w:tc>
          <w:tcPr>
            <w:tcW w:type="dxa" w:w="254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Smartphone con cámara de 8 MP o más</w:t>
            </w:r>
          </w:p>
        </w:tc>
        <w:tc>
          <w:tcPr>
            <w:tcW w:type="dxa" w:w="263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La selfie y fotos de la cédula para KYC requieren cámara</w:t>
            </w:r>
          </w:p>
        </w:tc>
      </w:tr>
      <w:tr>
        <w:trPr>
          <w:cantSplit/>
        </w:trPr>
        <w:tc>
          <w:tcPr>
            <w:tcW w:type="dxa" w:w="169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Conectividad</w:t>
            </w:r>
          </w:p>
        </w:tc>
        <w:tc>
          <w:tcPr>
            <w:tcW w:type="dxa" w:w="254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5 Mbps</w:t>
            </w:r>
          </w:p>
        </w:tc>
        <w:tc>
          <w:tcPr>
            <w:tcW w:type="dxa" w:w="254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20 Mbps o más</w:t>
            </w:r>
          </w:p>
        </w:tc>
        <w:tc>
          <w:tcPr>
            <w:tcW w:type="dxa" w:w="263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Carga de fotos de espacios y documentos</w:t>
            </w:r>
          </w:p>
        </w:tc>
      </w:tr>
      <w:tr>
        <w:trPr>
          <w:cantSplit/>
        </w:trPr>
        <w:tc>
          <w:tcPr>
            <w:tcW w:type="dxa" w:w="169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Servidores</w:t>
            </w:r>
          </w:p>
        </w:tc>
        <w:tc>
          <w:tcPr>
            <w:tcW w:type="dxa" w:w="254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No aplica</w:t>
            </w:r>
          </w:p>
        </w:tc>
        <w:tc>
          <w:tcPr>
            <w:tcW w:type="dxa" w:w="254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No aplica</w:t>
            </w:r>
          </w:p>
        </w:tc>
        <w:tc>
          <w:tcPr>
            <w:tcW w:type="dxa" w:w="263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Cómputo y datos gestionados por Vercel y Supabase</w:t>
            </w:r>
          </w:p>
        </w:tc>
      </w:tr>
    </w:tbl>
    <w:p>
      <w:pPr>
        <w:keepNext/>
        <w:spacing w:after="0" w:before="160"/>
      </w:pPr>
      <w:r>
        <w:rPr>
          <w:rFonts w:ascii="Arial" w:cs="Arial" w:eastAsia="Arial" w:hAnsi="Arial"/>
          <w:b/>
          <w:bCs/>
          <w:sz w:val="20"/>
          <w:szCs w:val="20"/>
        </w:rPr>
        <w:t xml:space="preserve">Tabla 12</w:t>
      </w:r>
    </w:p>
    <w:p>
      <w:pPr>
        <w:keepNext/>
        <w:spacing w:after="80"/>
      </w:pPr>
      <w:r>
        <w:rPr>
          <w:rFonts w:ascii="Arial" w:cs="Arial" w:eastAsia="Arial" w:hAnsi="Arial"/>
          <w:i/>
          <w:iCs/>
          <w:sz w:val="20"/>
          <w:szCs w:val="20"/>
        </w:rPr>
        <w:t xml:space="preserve">Servicios TI requeridos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881"/>
        <w:gridCol w:w="5644"/>
        <w:gridCol w:w="1881"/>
      </w:tblGrid>
      <w:tr>
        <w:trPr>
          <w:tblHeader/>
        </w:trPr>
        <w:tc>
          <w:tcPr>
            <w:tcW w:type="dxa" w:w="1881"/>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Servicio</w:t>
            </w:r>
          </w:p>
        </w:tc>
        <w:tc>
          <w:tcPr>
            <w:tcW w:type="dxa" w:w="5644"/>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Solución</w:t>
            </w:r>
          </w:p>
        </w:tc>
        <w:tc>
          <w:tcPr>
            <w:tcW w:type="dxa" w:w="1881"/>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Fase</w:t>
            </w:r>
          </w:p>
        </w:tc>
      </w:tr>
      <w:tr>
        <w:trPr>
          <w:cantSplit/>
        </w:trPr>
        <w:tc>
          <w:tcPr>
            <w:tcW w:type="dxa" w:w="188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Dominio y DNS</w:t>
            </w:r>
          </w:p>
        </w:tc>
        <w:tc>
          <w:tcPr>
            <w:tcW w:type="dxa" w:w="5644"/>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Dominio .cl en NIC Chile apuntado a Vercel</w:t>
            </w:r>
          </w:p>
        </w:tc>
        <w:tc>
          <w:tcPr>
            <w:tcW w:type="dxa" w:w="188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Producción</w:t>
            </w:r>
          </w:p>
        </w:tc>
      </w:tr>
      <w:tr>
        <w:trPr>
          <w:cantSplit/>
        </w:trPr>
        <w:tc>
          <w:tcPr>
            <w:tcW w:type="dxa" w:w="188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Certificado TLS</w:t>
            </w:r>
          </w:p>
        </w:tc>
        <w:tc>
          <w:tcPr>
            <w:tcW w:type="dxa" w:w="5644"/>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Emitido y renovado automáticamente por Vercel</w:t>
            </w:r>
          </w:p>
        </w:tc>
        <w:tc>
          <w:tcPr>
            <w:tcW w:type="dxa" w:w="188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Prototipo y producción</w:t>
            </w:r>
          </w:p>
        </w:tc>
      </w:tr>
      <w:tr>
        <w:trPr>
          <w:cantSplit/>
        </w:trPr>
        <w:tc>
          <w:tcPr>
            <w:tcW w:type="dxa" w:w="188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Correo transaccional</w:t>
            </w:r>
          </w:p>
        </w:tc>
        <w:tc>
          <w:tcPr>
            <w:tcW w:type="dxa" w:w="5644"/>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SMTP de Supabase Auth en prototipo; SMTP propio (por ejemplo, Resend o Amazon SES) en producción por límites de envío</w:t>
            </w:r>
          </w:p>
        </w:tc>
        <w:tc>
          <w:tcPr>
            <w:tcW w:type="dxa" w:w="188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Prototipo → producción</w:t>
            </w:r>
          </w:p>
        </w:tc>
      </w:tr>
      <w:tr>
        <w:trPr>
          <w:cantSplit/>
        </w:trPr>
        <w:tc>
          <w:tcPr>
            <w:tcW w:type="dxa" w:w="188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Respaldos</w:t>
            </w:r>
          </w:p>
        </w:tc>
        <w:tc>
          <w:tcPr>
            <w:tcW w:type="dxa" w:w="5644"/>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Respaldos diarios de Supabase (Pro: 7 días de retención) + script SQL versionado en Git</w:t>
            </w:r>
          </w:p>
        </w:tc>
        <w:tc>
          <w:tcPr>
            <w:tcW w:type="dxa" w:w="188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Producción</w:t>
            </w:r>
          </w:p>
        </w:tc>
      </w:tr>
      <w:tr>
        <w:trPr>
          <w:cantSplit/>
        </w:trPr>
        <w:tc>
          <w:tcPr>
            <w:tcW w:type="dxa" w:w="188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Monitoreo</w:t>
            </w:r>
          </w:p>
        </w:tc>
        <w:tc>
          <w:tcPr>
            <w:tcW w:type="dxa" w:w="5644"/>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Registros de Vercel Functions, panel de Supabase y endpoint /api/health</w:t>
            </w:r>
          </w:p>
        </w:tc>
        <w:tc>
          <w:tcPr>
            <w:tcW w:type="dxa" w:w="188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Prototipo y producción</w:t>
            </w:r>
          </w:p>
        </w:tc>
      </w:tr>
      <w:tr>
        <w:trPr>
          <w:cantSplit/>
        </w:trPr>
        <w:tc>
          <w:tcPr>
            <w:tcW w:type="dxa" w:w="188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Documentación de API</w:t>
            </w:r>
          </w:p>
        </w:tc>
        <w:tc>
          <w:tcPr>
            <w:tcW w:type="dxa" w:w="5644"/>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Especificación OpenAPI (public/openapi.yaml)</w:t>
            </w:r>
          </w:p>
        </w:tc>
        <w:tc>
          <w:tcPr>
            <w:tcW w:type="dxa" w:w="188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Prototipo</w:t>
            </w:r>
          </w:p>
        </w:tc>
      </w:tr>
    </w:tbl>
    <w:p>
      <w:pPr>
        <w:pStyle w:val="Heading3"/>
        <w:spacing w:after="100" w:before="180"/>
      </w:pPr>
      <w:r>
        <w:rPr>
          <w:rFonts w:ascii="Arial" w:cs="Arial" w:eastAsia="Arial" w:hAnsi="Arial"/>
          <w:b/>
          <w:bCs/>
          <w:sz w:val="22"/>
          <w:szCs w:val="22"/>
        </w:rPr>
        <w:t xml:space="preserve">e) Selección final y justificación</w:t>
      </w:r>
    </w:p>
    <w:p>
      <w:pPr>
        <w:keepNext/>
        <w:spacing w:after="0" w:before="160"/>
      </w:pPr>
      <w:r>
        <w:rPr>
          <w:rFonts w:ascii="Arial" w:cs="Arial" w:eastAsia="Arial" w:hAnsi="Arial"/>
          <w:b/>
          <w:bCs/>
          <w:sz w:val="20"/>
          <w:szCs w:val="20"/>
        </w:rPr>
        <w:t xml:space="preserve">Tabla 13</w:t>
      </w:r>
    </w:p>
    <w:p>
      <w:pPr>
        <w:keepNext/>
        <w:spacing w:after="80"/>
      </w:pPr>
      <w:r>
        <w:rPr>
          <w:rFonts w:ascii="Arial" w:cs="Arial" w:eastAsia="Arial" w:hAnsi="Arial"/>
          <w:i/>
          <w:iCs/>
          <w:sz w:val="20"/>
          <w:szCs w:val="20"/>
        </w:rPr>
        <w:t xml:space="preserve">Stack tecnológico seleccionado</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693"/>
        <w:gridCol w:w="3010"/>
        <w:gridCol w:w="4703"/>
      </w:tblGrid>
      <w:tr>
        <w:trPr>
          <w:tblHeader/>
        </w:trPr>
        <w:tc>
          <w:tcPr>
            <w:tcW w:type="dxa" w:w="1693"/>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Componente</w:t>
            </w:r>
          </w:p>
        </w:tc>
        <w:tc>
          <w:tcPr>
            <w:tcW w:type="dxa" w:w="301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Tecnología seleccionada</w:t>
            </w:r>
          </w:p>
        </w:tc>
        <w:tc>
          <w:tcPr>
            <w:tcW w:type="dxa" w:w="4703"/>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Justificación principal</w:t>
            </w:r>
          </w:p>
        </w:tc>
      </w:tr>
      <w:tr>
        <w:trPr>
          <w:cantSplit/>
        </w:trPr>
        <w:tc>
          <w:tcPr>
            <w:tcW w:type="dxa" w:w="169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Lenguaje</w:t>
            </w:r>
          </w:p>
        </w:tc>
        <w:tc>
          <w:tcPr>
            <w:tcW w:type="dxa" w:w="301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TypeScript 5.8</w:t>
            </w:r>
          </w:p>
        </w:tc>
        <w:tc>
          <w:tcPr>
            <w:tcW w:type="dxa" w:w="470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Tipado estático en frontend y backend; un solo lenguaje para todo el equipo</w:t>
            </w:r>
          </w:p>
        </w:tc>
      </w:tr>
      <w:tr>
        <w:trPr>
          <w:cantSplit/>
        </w:trPr>
        <w:tc>
          <w:tcPr>
            <w:tcW w:type="dxa" w:w="169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Frontend</w:t>
            </w:r>
          </w:p>
        </w:tc>
        <w:tc>
          <w:tcPr>
            <w:tcW w:type="dxa" w:w="301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React 19 + Vite 6 + Tailwind CSS 4</w:t>
            </w:r>
          </w:p>
        </w:tc>
        <w:tc>
          <w:tcPr>
            <w:tcW w:type="dxa" w:w="470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Mayor puntaje; experiencia del equipo; build rápido y CSS utilitario</w:t>
            </w:r>
          </w:p>
        </w:tc>
      </w:tr>
      <w:tr>
        <w:trPr>
          <w:cantSplit/>
        </w:trPr>
        <w:tc>
          <w:tcPr>
            <w:tcW w:type="dxa" w:w="169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Enrutamiento y UI</w:t>
            </w:r>
          </w:p>
        </w:tc>
        <w:tc>
          <w:tcPr>
            <w:tcW w:type="dxa" w:w="301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React Router 7, lucide-react</w:t>
            </w:r>
          </w:p>
        </w:tc>
        <w:tc>
          <w:tcPr>
            <w:tcW w:type="dxa" w:w="470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Rutas protegidas por rol; íconos livianos</w:t>
            </w:r>
          </w:p>
        </w:tc>
      </w:tr>
      <w:tr>
        <w:trPr>
          <w:cantSplit/>
        </w:trPr>
        <w:tc>
          <w:tcPr>
            <w:tcW w:type="dxa" w:w="169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Animación</w:t>
            </w:r>
          </w:p>
        </w:tc>
        <w:tc>
          <w:tcPr>
            <w:tcW w:type="dxa" w:w="301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Motion 12 y Anime.js 4</w:t>
            </w:r>
          </w:p>
        </w:tc>
        <w:tc>
          <w:tcPr>
            <w:tcW w:type="dxa" w:w="470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Transiciones entre vistas, gráficos animados y contadores; solo se animan transform y opacity para no afectar el rendimiento</w:t>
            </w:r>
          </w:p>
        </w:tc>
      </w:tr>
      <w:tr>
        <w:trPr>
          <w:cantSplit/>
        </w:trPr>
        <w:tc>
          <w:tcPr>
            <w:tcW w:type="dxa" w:w="169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Documentos</w:t>
            </w:r>
          </w:p>
        </w:tc>
        <w:tc>
          <w:tcPr>
            <w:tcW w:type="dxa" w:w="301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jsPDF + Web Crypto (SHA-256)</w:t>
            </w:r>
          </w:p>
        </w:tc>
        <w:tc>
          <w:tcPr>
            <w:tcW w:type="dxa" w:w="470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Contratos PDF y huella criptográfica sin servidor adicional</w:t>
            </w:r>
          </w:p>
        </w:tc>
      </w:tr>
      <w:tr>
        <w:trPr>
          <w:cantSplit/>
        </w:trPr>
        <w:tc>
          <w:tcPr>
            <w:tcW w:type="dxa" w:w="169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Backend</w:t>
            </w:r>
          </w:p>
        </w:tc>
        <w:tc>
          <w:tcPr>
            <w:tcW w:type="dxa" w:w="301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Supabase + Vercel Functions</w:t>
            </w:r>
          </w:p>
        </w:tc>
        <w:tc>
          <w:tcPr>
            <w:tcW w:type="dxa" w:w="470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Auth, RLS y Storage listos; funciones solo para operaciones con secretos</w:t>
            </w:r>
          </w:p>
        </w:tc>
      </w:tr>
      <w:tr>
        <w:trPr>
          <w:cantSplit/>
        </w:trPr>
        <w:tc>
          <w:tcPr>
            <w:tcW w:type="dxa" w:w="169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Base de datos</w:t>
            </w:r>
          </w:p>
        </w:tc>
        <w:tc>
          <w:tcPr>
            <w:tcW w:type="dxa" w:w="301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PostgreSQL (Supabase)</w:t>
            </w:r>
          </w:p>
        </w:tc>
        <w:tc>
          <w:tcPr>
            <w:tcW w:type="dxa" w:w="470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Restricción de exclusión anti-sobreventa, RLS, triggers y pg_cron</w:t>
            </w:r>
          </w:p>
        </w:tc>
      </w:tr>
      <w:tr>
        <w:trPr>
          <w:cantSplit/>
        </w:trPr>
        <w:tc>
          <w:tcPr>
            <w:tcW w:type="dxa" w:w="169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Pagos</w:t>
            </w:r>
          </w:p>
        </w:tc>
        <w:tc>
          <w:tcPr>
            <w:tcW w:type="dxa" w:w="301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Transbank Webpay Plus + Oneclick Mall</w:t>
            </w:r>
          </w:p>
        </w:tc>
        <w:tc>
          <w:tcPr>
            <w:tcW w:type="dxa" w:w="470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Estándar chileno; tokenización que evita manejar datos de tarjeta</w:t>
            </w:r>
          </w:p>
        </w:tc>
      </w:tr>
      <w:tr>
        <w:trPr>
          <w:cantSplit/>
        </w:trPr>
        <w:tc>
          <w:tcPr>
            <w:tcW w:type="dxa" w:w="169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Hosting y CI/CD</w:t>
            </w:r>
          </w:p>
        </w:tc>
        <w:tc>
          <w:tcPr>
            <w:tcW w:type="dxa" w:w="301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Vercel + GitHub Actions</w:t>
            </w:r>
          </w:p>
        </w:tc>
        <w:tc>
          <w:tcPr>
            <w:tcW w:type="dxa" w:w="470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Despliegue automático, cron, cabeceras de seguridad</w:t>
            </w:r>
          </w:p>
        </w:tc>
      </w:tr>
      <w:tr>
        <w:trPr>
          <w:cantSplit/>
        </w:trPr>
        <w:tc>
          <w:tcPr>
            <w:tcW w:type="dxa" w:w="169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Pruebas</w:t>
            </w:r>
          </w:p>
        </w:tc>
        <w:tc>
          <w:tcPr>
            <w:tcW w:type="dxa" w:w="301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Vitest</w:t>
            </w:r>
          </w:p>
        </w:tc>
        <w:tc>
          <w:tcPr>
            <w:tcW w:type="dxa" w:w="470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Integración nativa con Vite; cobertura de utilidades críticas</w:t>
            </w:r>
          </w:p>
        </w:tc>
      </w:tr>
    </w:tbl>
    <w:p>
      <w:pPr>
        <w:pStyle w:val="Heading2"/>
        <w:spacing w:after="120" w:before="220"/>
      </w:pPr>
      <w:r>
        <w:rPr>
          <w:rFonts w:ascii="Arial" w:cs="Arial" w:eastAsia="Arial" w:hAnsi="Arial"/>
          <w:b/>
          <w:bCs/>
          <w:color w:val="1F3864"/>
          <w:sz w:val="24"/>
          <w:szCs w:val="24"/>
        </w:rPr>
        <w:t xml:space="preserve">3. Selección y evaluación de proveedores</w:t>
      </w:r>
    </w:p>
    <w:p>
      <w:pPr>
        <w:pStyle w:val="Heading3"/>
        <w:spacing w:after="100" w:before="180"/>
      </w:pPr>
      <w:r>
        <w:rPr>
          <w:rFonts w:ascii="Arial" w:cs="Arial" w:eastAsia="Arial" w:hAnsi="Arial"/>
          <w:b/>
          <w:bCs/>
          <w:sz w:val="22"/>
          <w:szCs w:val="22"/>
        </w:rPr>
        <w:t xml:space="preserve">a) Proveedores candidatos y criterios</w:t>
      </w:r>
    </w:p>
    <w:p>
      <w:pPr>
        <w:spacing w:after="140" w:line="260"/>
        <w:jc w:val="both"/>
      </w:pPr>
      <w:r>
        <w:rPr>
          <w:rFonts w:ascii="Arial" w:cs="Arial" w:eastAsia="Arial" w:hAnsi="Arial"/>
          <w:sz w:val="22"/>
          <w:szCs w:val="22"/>
        </w:rPr>
        <w:t xml:space="preserve">La selección de tecnologías determina un conjunto de proveedores de servicios. Para cada uno se evaluó si cumple las condiciones mínimas para operar Spotly con datos personales y pagos reales: costo sostenible en las fases de prototipo y producción, disponibilidad, certificaciones de seguridad, cercanía geográfica, soporte, calidad de la documentación y facilidad para migrar si el proveedor deja de ser conveniente. Un proveedor se aprueba si su puntaje ponderado es igual o superior a 3,5 y no tiene calificación 1 en seguridad.</w:t>
      </w:r>
    </w:p>
    <w:p>
      <w:pPr>
        <w:pStyle w:val="Heading3"/>
        <w:spacing w:after="100" w:before="180"/>
      </w:pPr>
      <w:r>
        <w:rPr>
          <w:rFonts w:ascii="Arial" w:cs="Arial" w:eastAsia="Arial" w:hAnsi="Arial"/>
          <w:b/>
          <w:bCs/>
          <w:sz w:val="22"/>
          <w:szCs w:val="22"/>
        </w:rPr>
        <w:t xml:space="preserve">b) Matriz de evaluación de proveedores</w:t>
      </w:r>
    </w:p>
    <w:p>
      <w:pPr>
        <w:keepNext/>
        <w:spacing w:after="0" w:before="160"/>
      </w:pPr>
      <w:r>
        <w:rPr>
          <w:rFonts w:ascii="Arial" w:cs="Arial" w:eastAsia="Arial" w:hAnsi="Arial"/>
          <w:b/>
          <w:bCs/>
          <w:sz w:val="20"/>
          <w:szCs w:val="20"/>
        </w:rPr>
        <w:t xml:space="preserve">Tabla 14</w:t>
      </w:r>
    </w:p>
    <w:p>
      <w:pPr>
        <w:keepNext/>
        <w:spacing w:after="80"/>
      </w:pPr>
      <w:r>
        <w:rPr>
          <w:rFonts w:ascii="Arial" w:cs="Arial" w:eastAsia="Arial" w:hAnsi="Arial"/>
          <w:i/>
          <w:iCs/>
          <w:sz w:val="20"/>
          <w:szCs w:val="20"/>
        </w:rPr>
        <w:t xml:space="preserve">Evaluación ponderada de los proveedores seleccionados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010"/>
        <w:gridCol w:w="941"/>
        <w:gridCol w:w="1364"/>
        <w:gridCol w:w="1364"/>
        <w:gridCol w:w="1364"/>
        <w:gridCol w:w="1363"/>
      </w:tblGrid>
      <w:tr>
        <w:trPr>
          <w:tblHeader/>
        </w:trPr>
        <w:tc>
          <w:tcPr>
            <w:tcW w:type="dxa" w:w="301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Criterio</w:t>
            </w:r>
          </w:p>
        </w:tc>
        <w:tc>
          <w:tcPr>
            <w:tcW w:type="dxa" w:w="941"/>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Peso</w:t>
            </w:r>
          </w:p>
        </w:tc>
        <w:tc>
          <w:tcPr>
            <w:tcW w:type="dxa" w:w="1364"/>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Supabase</w:t>
            </w:r>
          </w:p>
          <w:p>
            <w:pPr>
              <w:jc w:val="center"/>
            </w:pPr>
            <w:r>
              <w:rPr>
                <w:rFonts w:ascii="Arial" w:cs="Arial" w:eastAsia="Arial" w:hAnsi="Arial"/>
                <w:b/>
                <w:bCs/>
                <w:color w:val="FFFFFF"/>
                <w:sz w:val="18"/>
                <w:szCs w:val="18"/>
              </w:rPr>
              <w:t xml:space="preserve">(1–5)</w:t>
            </w:r>
          </w:p>
        </w:tc>
        <w:tc>
          <w:tcPr>
            <w:tcW w:type="dxa" w:w="1364"/>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Vercel</w:t>
            </w:r>
          </w:p>
          <w:p>
            <w:pPr>
              <w:jc w:val="center"/>
            </w:pPr>
            <w:r>
              <w:rPr>
                <w:rFonts w:ascii="Arial" w:cs="Arial" w:eastAsia="Arial" w:hAnsi="Arial"/>
                <w:b/>
                <w:bCs/>
                <w:color w:val="FFFFFF"/>
                <w:sz w:val="18"/>
                <w:szCs w:val="18"/>
              </w:rPr>
              <w:t xml:space="preserve">(1–5)</w:t>
            </w:r>
          </w:p>
        </w:tc>
        <w:tc>
          <w:tcPr>
            <w:tcW w:type="dxa" w:w="1364"/>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Transbank</w:t>
            </w:r>
          </w:p>
          <w:p>
            <w:pPr>
              <w:jc w:val="center"/>
            </w:pPr>
            <w:r>
              <w:rPr>
                <w:rFonts w:ascii="Arial" w:cs="Arial" w:eastAsia="Arial" w:hAnsi="Arial"/>
                <w:b/>
                <w:bCs/>
                <w:color w:val="FFFFFF"/>
                <w:sz w:val="18"/>
                <w:szCs w:val="18"/>
              </w:rPr>
              <w:t xml:space="preserve">(1–5)</w:t>
            </w:r>
          </w:p>
        </w:tc>
        <w:tc>
          <w:tcPr>
            <w:tcW w:type="dxa" w:w="1363"/>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GitHub</w:t>
            </w:r>
          </w:p>
          <w:p>
            <w:pPr>
              <w:jc w:val="center"/>
            </w:pPr>
            <w:r>
              <w:rPr>
                <w:rFonts w:ascii="Arial" w:cs="Arial" w:eastAsia="Arial" w:hAnsi="Arial"/>
                <w:b/>
                <w:bCs/>
                <w:color w:val="FFFFFF"/>
                <w:sz w:val="18"/>
                <w:szCs w:val="18"/>
              </w:rPr>
              <w:t xml:space="preserve">(1–5)</w:t>
            </w:r>
          </w:p>
        </w:tc>
      </w:tr>
      <w:tr>
        <w:trPr>
          <w:cantSplit/>
        </w:trPr>
        <w:tc>
          <w:tcPr>
            <w:tcW w:type="dxa" w:w="301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Costo</w:t>
            </w:r>
          </w:p>
        </w:tc>
        <w:tc>
          <w:tcPr>
            <w:tcW w:type="dxa" w:w="94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20 %</w:t>
            </w:r>
          </w:p>
        </w:tc>
        <w:tc>
          <w:tcPr>
            <w:tcW w:type="dxa" w:w="1364"/>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1364"/>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1364"/>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4</w:t>
            </w:r>
          </w:p>
        </w:tc>
        <w:tc>
          <w:tcPr>
            <w:tcW w:type="dxa" w:w="136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5</w:t>
            </w:r>
          </w:p>
        </w:tc>
      </w:tr>
      <w:tr>
        <w:trPr>
          <w:cantSplit/>
        </w:trPr>
        <w:tc>
          <w:tcPr>
            <w:tcW w:type="dxa" w:w="301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Disponibilidad / SLA</w:t>
            </w:r>
          </w:p>
        </w:tc>
        <w:tc>
          <w:tcPr>
            <w:tcW w:type="dxa" w:w="94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15 %</w:t>
            </w:r>
          </w:p>
        </w:tc>
        <w:tc>
          <w:tcPr>
            <w:tcW w:type="dxa" w:w="1364"/>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3</w:t>
            </w:r>
          </w:p>
        </w:tc>
        <w:tc>
          <w:tcPr>
            <w:tcW w:type="dxa" w:w="1364"/>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4</w:t>
            </w:r>
          </w:p>
        </w:tc>
        <w:tc>
          <w:tcPr>
            <w:tcW w:type="dxa" w:w="1364"/>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136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4</w:t>
            </w:r>
          </w:p>
        </w:tc>
      </w:tr>
      <w:tr>
        <w:trPr>
          <w:cantSplit/>
        </w:trPr>
        <w:tc>
          <w:tcPr>
            <w:tcW w:type="dxa" w:w="301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Seguridad y certificaciones</w:t>
            </w:r>
          </w:p>
        </w:tc>
        <w:tc>
          <w:tcPr>
            <w:tcW w:type="dxa" w:w="94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20 %</w:t>
            </w:r>
          </w:p>
        </w:tc>
        <w:tc>
          <w:tcPr>
            <w:tcW w:type="dxa" w:w="1364"/>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4</w:t>
            </w:r>
          </w:p>
        </w:tc>
        <w:tc>
          <w:tcPr>
            <w:tcW w:type="dxa" w:w="1364"/>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4</w:t>
            </w:r>
          </w:p>
        </w:tc>
        <w:tc>
          <w:tcPr>
            <w:tcW w:type="dxa" w:w="1364"/>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136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5</w:t>
            </w:r>
          </w:p>
        </w:tc>
      </w:tr>
      <w:tr>
        <w:trPr>
          <w:cantSplit/>
        </w:trPr>
        <w:tc>
          <w:tcPr>
            <w:tcW w:type="dxa" w:w="301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Región / latencia</w:t>
            </w:r>
          </w:p>
        </w:tc>
        <w:tc>
          <w:tcPr>
            <w:tcW w:type="dxa" w:w="94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10 %</w:t>
            </w:r>
          </w:p>
        </w:tc>
        <w:tc>
          <w:tcPr>
            <w:tcW w:type="dxa" w:w="1364"/>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4</w:t>
            </w:r>
          </w:p>
        </w:tc>
        <w:tc>
          <w:tcPr>
            <w:tcW w:type="dxa" w:w="1364"/>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1364"/>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136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4</w:t>
            </w:r>
          </w:p>
        </w:tc>
      </w:tr>
      <w:tr>
        <w:trPr>
          <w:cantSplit/>
        </w:trPr>
        <w:tc>
          <w:tcPr>
            <w:tcW w:type="dxa" w:w="301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Soporte</w:t>
            </w:r>
          </w:p>
        </w:tc>
        <w:tc>
          <w:tcPr>
            <w:tcW w:type="dxa" w:w="94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10 %</w:t>
            </w:r>
          </w:p>
        </w:tc>
        <w:tc>
          <w:tcPr>
            <w:tcW w:type="dxa" w:w="1364"/>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3</w:t>
            </w:r>
          </w:p>
        </w:tc>
        <w:tc>
          <w:tcPr>
            <w:tcW w:type="dxa" w:w="1364"/>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3</w:t>
            </w:r>
          </w:p>
        </w:tc>
        <w:tc>
          <w:tcPr>
            <w:tcW w:type="dxa" w:w="1364"/>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4</w:t>
            </w:r>
          </w:p>
        </w:tc>
        <w:tc>
          <w:tcPr>
            <w:tcW w:type="dxa" w:w="136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4</w:t>
            </w:r>
          </w:p>
        </w:tc>
      </w:tr>
      <w:tr>
        <w:trPr>
          <w:cantSplit/>
        </w:trPr>
        <w:tc>
          <w:tcPr>
            <w:tcW w:type="dxa" w:w="301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Documentación</w:t>
            </w:r>
          </w:p>
        </w:tc>
        <w:tc>
          <w:tcPr>
            <w:tcW w:type="dxa" w:w="94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10 %</w:t>
            </w:r>
          </w:p>
        </w:tc>
        <w:tc>
          <w:tcPr>
            <w:tcW w:type="dxa" w:w="1364"/>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1364"/>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1364"/>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4</w:t>
            </w:r>
          </w:p>
        </w:tc>
        <w:tc>
          <w:tcPr>
            <w:tcW w:type="dxa" w:w="136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5</w:t>
            </w:r>
          </w:p>
        </w:tc>
      </w:tr>
      <w:tr>
        <w:trPr>
          <w:cantSplit/>
        </w:trPr>
        <w:tc>
          <w:tcPr>
            <w:tcW w:type="dxa" w:w="301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Portabilidad (lock-in)</w:t>
            </w:r>
          </w:p>
        </w:tc>
        <w:tc>
          <w:tcPr>
            <w:tcW w:type="dxa" w:w="94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15 %</w:t>
            </w:r>
          </w:p>
        </w:tc>
        <w:tc>
          <w:tcPr>
            <w:tcW w:type="dxa" w:w="1364"/>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1364"/>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4</w:t>
            </w:r>
          </w:p>
        </w:tc>
        <w:tc>
          <w:tcPr>
            <w:tcW w:type="dxa" w:w="1364"/>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3</w:t>
            </w:r>
          </w:p>
        </w:tc>
        <w:tc>
          <w:tcPr>
            <w:tcW w:type="dxa" w:w="136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4</w:t>
            </w:r>
          </w:p>
        </w:tc>
      </w:tr>
      <w:tr>
        <w:trPr>
          <w:cantSplit/>
        </w:trPr>
        <w:tc>
          <w:tcPr>
            <w:tcW w:type="dxa" w:w="3010"/>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left"/>
            </w:pPr>
            <w:r>
              <w:rPr>
                <w:rFonts w:ascii="Arial" w:cs="Arial" w:eastAsia="Arial" w:hAnsi="Arial"/>
                <w:b/>
                <w:bCs/>
                <w:sz w:val="18"/>
                <w:szCs w:val="18"/>
              </w:rPr>
              <w:t xml:space="preserve">Total ponderado</w:t>
            </w:r>
          </w:p>
        </w:tc>
        <w:tc>
          <w:tcPr>
            <w:tcW w:type="dxa" w:w="941"/>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r>
              <w:rPr>
                <w:rFonts w:ascii="Arial" w:cs="Arial" w:eastAsia="Arial" w:hAnsi="Arial"/>
                <w:b/>
                <w:bCs/>
                <w:sz w:val="18"/>
                <w:szCs w:val="18"/>
              </w:rPr>
              <w:t xml:space="preserve">100 %</w:t>
            </w:r>
          </w:p>
        </w:tc>
        <w:tc>
          <w:tcPr>
            <w:tcW w:type="dxa" w:w="1364"/>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r>
              <w:rPr>
                <w:rFonts w:ascii="Arial" w:cs="Arial" w:eastAsia="Arial" w:hAnsi="Arial"/>
                <w:b/>
                <w:bCs/>
                <w:sz w:val="18"/>
                <w:szCs w:val="18"/>
              </w:rPr>
              <w:t xml:space="preserve">4,20</w:t>
            </w:r>
          </w:p>
        </w:tc>
        <w:tc>
          <w:tcPr>
            <w:tcW w:type="dxa" w:w="1364"/>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r>
              <w:rPr>
                <w:rFonts w:ascii="Arial" w:cs="Arial" w:eastAsia="Arial" w:hAnsi="Arial"/>
                <w:b/>
                <w:bCs/>
                <w:sz w:val="18"/>
                <w:szCs w:val="18"/>
              </w:rPr>
              <w:t xml:space="preserve">4,30</w:t>
            </w:r>
          </w:p>
        </w:tc>
        <w:tc>
          <w:tcPr>
            <w:tcW w:type="dxa" w:w="1364"/>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r>
              <w:rPr>
                <w:rFonts w:ascii="Arial" w:cs="Arial" w:eastAsia="Arial" w:hAnsi="Arial"/>
                <w:b/>
                <w:bCs/>
                <w:sz w:val="18"/>
                <w:szCs w:val="18"/>
              </w:rPr>
              <w:t xml:space="preserve">4,30</w:t>
            </w:r>
          </w:p>
        </w:tc>
        <w:tc>
          <w:tcPr>
            <w:tcW w:type="dxa" w:w="1363"/>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center"/>
            </w:pPr>
            <w:r>
              <w:rPr>
                <w:rFonts w:ascii="Arial" w:cs="Arial" w:eastAsia="Arial" w:hAnsi="Arial"/>
                <w:b/>
                <w:bCs/>
                <w:sz w:val="18"/>
                <w:szCs w:val="18"/>
              </w:rPr>
              <w:t xml:space="preserve">4,50</w:t>
            </w:r>
          </w:p>
        </w:tc>
      </w:tr>
    </w:tbl>
    <w:p>
      <w:pPr>
        <w:spacing w:after="180" w:before="60"/>
      </w:pPr>
      <w:r>
        <w:rPr>
          <w:rFonts w:ascii="Arial" w:cs="Arial" w:eastAsia="Arial" w:hAnsi="Arial"/>
          <w:i/>
          <w:iCs/>
          <w:sz w:val="18"/>
          <w:szCs w:val="18"/>
        </w:rPr>
        <w:t xml:space="preserve">Nota. </w:t>
      </w:r>
      <w:r>
        <w:rPr>
          <w:rFonts w:ascii="Arial" w:cs="Arial" w:eastAsia="Arial" w:hAnsi="Arial"/>
          <w:sz w:val="18"/>
          <w:szCs w:val="18"/>
        </w:rPr>
        <w:t xml:space="preserve">Umbral de aprobación: 3,5. Supabase obtiene 3 en SLA porque los planes Free y Pro no incluyen un acuerdo de nivel de servicio contractual (sí los planes Team y Enterprise); Transbank obtiene 3 en portabilidad porque la integración de pagos es específica de su API.</w:t>
      </w:r>
    </w:p>
    <w:p>
      <w:pPr>
        <w:spacing w:after="140" w:line="260"/>
        <w:jc w:val="both"/>
      </w:pPr>
      <w:r>
        <w:rPr>
          <w:rFonts w:ascii="Arial" w:cs="Arial" w:eastAsia="Arial" w:hAnsi="Arial"/>
          <w:sz w:val="22"/>
          <w:szCs w:val="22"/>
        </w:rPr>
        <w:t xml:space="preserve">Los cuatro proveedores superan el umbral (Supabase 4,20, Vercel 4,30, Transbank 4,30, GitHub 4,50) y se aprueban. Las alternativas descartadas en el apartado anterior (Firebase, AWS RDS, Netlify, Render, Mercado Pago y Flow) se mantienen como proveedores de respaldo en caso de cambios de precio o de condiciones.</w:t>
      </w:r>
    </w:p>
    <w:p>
      <w:pPr>
        <w:pStyle w:val="Heading3"/>
        <w:spacing w:after="100" w:before="180"/>
      </w:pPr>
      <w:r>
        <w:rPr>
          <w:rFonts w:ascii="Arial" w:cs="Arial" w:eastAsia="Arial" w:hAnsi="Arial"/>
          <w:b/>
          <w:bCs/>
          <w:sz w:val="22"/>
          <w:szCs w:val="22"/>
        </w:rPr>
        <w:t xml:space="preserve">c) Costos estimados</w:t>
      </w:r>
    </w:p>
    <w:p>
      <w:pPr>
        <w:keepNext/>
        <w:spacing w:after="0" w:before="160"/>
      </w:pPr>
      <w:r>
        <w:rPr>
          <w:rFonts w:ascii="Arial" w:cs="Arial" w:eastAsia="Arial" w:hAnsi="Arial"/>
          <w:b/>
          <w:bCs/>
          <w:sz w:val="20"/>
          <w:szCs w:val="20"/>
        </w:rPr>
        <w:t xml:space="preserve">Tabla 15</w:t>
      </w:r>
    </w:p>
    <w:p>
      <w:pPr>
        <w:keepNext/>
        <w:spacing w:after="80"/>
      </w:pPr>
      <w:r>
        <w:rPr>
          <w:rFonts w:ascii="Arial" w:cs="Arial" w:eastAsia="Arial" w:hAnsi="Arial"/>
          <w:i/>
          <w:iCs/>
          <w:sz w:val="20"/>
          <w:szCs w:val="20"/>
        </w:rPr>
        <w:t xml:space="preserve">Costos mensuales estimados por fase</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411"/>
        <w:gridCol w:w="2069"/>
        <w:gridCol w:w="2352"/>
        <w:gridCol w:w="3574"/>
      </w:tblGrid>
      <w:tr>
        <w:trPr>
          <w:tblHeader/>
        </w:trPr>
        <w:tc>
          <w:tcPr>
            <w:tcW w:type="dxa" w:w="1411"/>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Proveedor</w:t>
            </w:r>
          </w:p>
        </w:tc>
        <w:tc>
          <w:tcPr>
            <w:tcW w:type="dxa" w:w="2069"/>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Fase prototipo (académica)</w:t>
            </w:r>
          </w:p>
        </w:tc>
        <w:tc>
          <w:tcPr>
            <w:tcW w:type="dxa" w:w="2352"/>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Fase producción (lanzamiento)</w:t>
            </w:r>
          </w:p>
        </w:tc>
        <w:tc>
          <w:tcPr>
            <w:tcW w:type="dxa" w:w="3574"/>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Observaciones</w:t>
            </w:r>
          </w:p>
        </w:tc>
      </w:tr>
      <w:tr>
        <w:trPr>
          <w:cantSplit/>
        </w:trPr>
        <w:tc>
          <w:tcPr>
            <w:tcW w:type="dxa" w:w="141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Supabase</w:t>
            </w:r>
          </w:p>
        </w:tc>
        <w:tc>
          <w:tcPr>
            <w:tcW w:type="dxa" w:w="2069"/>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Plan Free: US$ 0</w:t>
            </w:r>
          </w:p>
        </w:tc>
        <w:tc>
          <w:tcPr>
            <w:tcW w:type="dxa" w:w="2352"/>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Plan Pro: US$ 25/mes por organización</w:t>
            </w:r>
          </w:p>
        </w:tc>
        <w:tc>
          <w:tcPr>
            <w:tcW w:type="dxa" w:w="3574"/>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Pro incluye 8 GB de base de datos, 100.000 usuarios activos mensuales, respaldos diarios y crédito de cómputo de US$ 10</w:t>
            </w:r>
          </w:p>
        </w:tc>
      </w:tr>
      <w:tr>
        <w:trPr>
          <w:cantSplit/>
        </w:trPr>
        <w:tc>
          <w:tcPr>
            <w:tcW w:type="dxa" w:w="141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Vercel</w:t>
            </w:r>
          </w:p>
        </w:tc>
        <w:tc>
          <w:tcPr>
            <w:tcW w:type="dxa" w:w="2069"/>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Plan Hobby: US$ 0 (uso no comercial)</w:t>
            </w:r>
          </w:p>
        </w:tc>
        <w:tc>
          <w:tcPr>
            <w:tcW w:type="dxa" w:w="2352"/>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Plan Pro: US$ 20/mes por integrante con despliegue</w:t>
            </w:r>
          </w:p>
        </w:tc>
        <w:tc>
          <w:tcPr>
            <w:tcW w:type="dxa" w:w="3574"/>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El uso comercial exige plan Pro</w:t>
            </w:r>
          </w:p>
        </w:tc>
      </w:tr>
      <w:tr>
        <w:trPr>
          <w:cantSplit/>
        </w:trPr>
        <w:tc>
          <w:tcPr>
            <w:tcW w:type="dxa" w:w="141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Transbank</w:t>
            </w:r>
          </w:p>
        </w:tc>
        <w:tc>
          <w:tcPr>
            <w:tcW w:type="dxa" w:w="2069"/>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Ambiente de integración: US$ 0</w:t>
            </w:r>
          </w:p>
        </w:tc>
        <w:tc>
          <w:tcPr>
            <w:tcW w:type="dxa" w:w="2352"/>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Sin costo fijo mensual; comisión por transacción</w:t>
            </w:r>
          </w:p>
        </w:tc>
        <w:tc>
          <w:tcPr>
            <w:tcW w:type="dxa" w:w="3574"/>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Comisión según tipo de tarjeta y rubro (referencia pública Webpay: ~1,79 % + IVA en débito y ~2,79 % + IVA en crédito)</w:t>
            </w:r>
          </w:p>
        </w:tc>
      </w:tr>
      <w:tr>
        <w:trPr>
          <w:cantSplit/>
        </w:trPr>
        <w:tc>
          <w:tcPr>
            <w:tcW w:type="dxa" w:w="141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GitHub</w:t>
            </w:r>
          </w:p>
        </w:tc>
        <w:tc>
          <w:tcPr>
            <w:tcW w:type="dxa" w:w="2069"/>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Plan Free: US$ 0</w:t>
            </w:r>
          </w:p>
        </w:tc>
        <w:tc>
          <w:tcPr>
            <w:tcW w:type="dxa" w:w="2352"/>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Plan Free: US$ 0</w:t>
            </w:r>
          </w:p>
        </w:tc>
        <w:tc>
          <w:tcPr>
            <w:tcW w:type="dxa" w:w="3574"/>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Repositorio y Actions dentro de cuotas gratuitas</w:t>
            </w:r>
          </w:p>
        </w:tc>
      </w:tr>
      <w:tr>
        <w:trPr>
          <w:cantSplit/>
        </w:trPr>
        <w:tc>
          <w:tcPr>
            <w:tcW w:type="dxa" w:w="141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Dominio .cl</w:t>
            </w:r>
          </w:p>
        </w:tc>
        <w:tc>
          <w:tcPr>
            <w:tcW w:type="dxa" w:w="2069"/>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No requerido</w:t>
            </w:r>
          </w:p>
        </w:tc>
        <w:tc>
          <w:tcPr>
            <w:tcW w:type="dxa" w:w="2352"/>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 CLP 10.000 anuales</w:t>
            </w:r>
          </w:p>
        </w:tc>
        <w:tc>
          <w:tcPr>
            <w:tcW w:type="dxa" w:w="3574"/>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NIC Chile</w:t>
            </w:r>
          </w:p>
        </w:tc>
      </w:tr>
      <w:tr>
        <w:trPr>
          <w:cantSplit/>
        </w:trPr>
        <w:tc>
          <w:tcPr>
            <w:tcW w:type="dxa" w:w="1411"/>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left"/>
            </w:pPr>
            <w:r>
              <w:rPr>
                <w:rFonts w:ascii="Arial" w:cs="Arial" w:eastAsia="Arial" w:hAnsi="Arial"/>
                <w:b/>
                <w:bCs/>
                <w:sz w:val="18"/>
                <w:szCs w:val="18"/>
              </w:rPr>
              <w:t xml:space="preserve">Total fijo</w:t>
            </w:r>
          </w:p>
        </w:tc>
        <w:tc>
          <w:tcPr>
            <w:tcW w:type="dxa" w:w="2069"/>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left"/>
            </w:pPr>
            <w:r>
              <w:rPr>
                <w:rFonts w:ascii="Arial" w:cs="Arial" w:eastAsia="Arial" w:hAnsi="Arial"/>
                <w:b/>
                <w:bCs/>
                <w:sz w:val="18"/>
                <w:szCs w:val="18"/>
              </w:rPr>
              <w:t xml:space="preserve">US$ 0</w:t>
            </w:r>
          </w:p>
        </w:tc>
        <w:tc>
          <w:tcPr>
            <w:tcW w:type="dxa" w:w="2352"/>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left"/>
            </w:pPr>
            <w:r>
              <w:rPr>
                <w:rFonts w:ascii="Arial" w:cs="Arial" w:eastAsia="Arial" w:hAnsi="Arial"/>
                <w:b/>
                <w:bCs/>
                <w:sz w:val="18"/>
                <w:szCs w:val="18"/>
              </w:rPr>
              <w:t xml:space="preserve">≈ US$ 45/mes (≈ CLP 43.000)</w:t>
            </w:r>
          </w:p>
        </w:tc>
        <w:tc>
          <w:tcPr>
            <w:tcW w:type="dxa" w:w="3574"/>
            <w:tcBorders>
              <w:top w:val="single" w:color="8EA9DB" w:sz="4"/>
              <w:left w:val="single" w:color="8EA9DB" w:sz="4"/>
              <w:bottom w:val="single" w:color="8EA9DB" w:sz="4"/>
              <w:right w:val="single" w:color="8EA9DB" w:sz="4"/>
            </w:tcBorders>
            <w:shd w:fill="D9E1F2" w:color="auto" w:val="clear"/>
            <w:tcMar>
              <w:top w:type="dxa" w:w="50"/>
              <w:left w:type="dxa" w:w="90"/>
              <w:bottom w:type="dxa" w:w="50"/>
              <w:right w:type="dxa" w:w="90"/>
            </w:tcMar>
            <w:vAlign w:val="center"/>
          </w:tcPr>
          <w:p>
            <w:pPr>
              <w:jc w:val="left"/>
            </w:pPr>
            <w:r>
              <w:rPr>
                <w:rFonts w:ascii="Arial" w:cs="Arial" w:eastAsia="Arial" w:hAnsi="Arial"/>
                <w:b/>
                <w:bCs/>
                <w:sz w:val="18"/>
                <w:szCs w:val="18"/>
              </w:rPr>
              <w:t xml:space="preserve">Tipo de cambio referencial de CLP 950 por dólar; las comisiones de pago son variables</w:t>
            </w:r>
          </w:p>
        </w:tc>
      </w:tr>
    </w:tbl>
    <w:p>
      <w:pPr>
        <w:spacing w:after="180" w:before="60"/>
      </w:pPr>
      <w:r>
        <w:rPr>
          <w:rFonts w:ascii="Arial" w:cs="Arial" w:eastAsia="Arial" w:hAnsi="Arial"/>
          <w:i/>
          <w:iCs/>
          <w:sz w:val="18"/>
          <w:szCs w:val="18"/>
        </w:rPr>
        <w:t xml:space="preserve">Nota. </w:t>
      </w:r>
      <w:r>
        <w:rPr>
          <w:rFonts w:ascii="Arial" w:cs="Arial" w:eastAsia="Arial" w:hAnsi="Arial"/>
          <w:sz w:val="18"/>
          <w:szCs w:val="18"/>
        </w:rPr>
        <w:t xml:space="preserve">Precios vigentes publicados por cada proveedor a octubre de 2026; están sujetos a cambios y no incluyen IVA.</w:t>
      </w:r>
    </w:p>
    <w:p>
      <w:pPr>
        <w:pStyle w:val="Heading3"/>
        <w:spacing w:after="100" w:before="180"/>
      </w:pPr>
      <w:r>
        <w:rPr>
          <w:rFonts w:ascii="Arial" w:cs="Arial" w:eastAsia="Arial" w:hAnsi="Arial"/>
          <w:b/>
          <w:bCs/>
          <w:sz w:val="22"/>
          <w:szCs w:val="22"/>
        </w:rPr>
        <w:t xml:space="preserve">d) Seguridad, calidad y rendimiento de los proveedores</w:t>
      </w:r>
    </w:p>
    <w:p>
      <w:pPr>
        <w:keepNext/>
        <w:spacing w:after="0" w:before="160"/>
      </w:pPr>
      <w:r>
        <w:rPr>
          <w:rFonts w:ascii="Arial" w:cs="Arial" w:eastAsia="Arial" w:hAnsi="Arial"/>
          <w:b/>
          <w:bCs/>
          <w:sz w:val="20"/>
          <w:szCs w:val="20"/>
        </w:rPr>
        <w:t xml:space="preserve">Tabla 16</w:t>
      </w:r>
    </w:p>
    <w:p>
      <w:pPr>
        <w:keepNext/>
        <w:spacing w:after="80"/>
      </w:pPr>
      <w:r>
        <w:rPr>
          <w:rFonts w:ascii="Arial" w:cs="Arial" w:eastAsia="Arial" w:hAnsi="Arial"/>
          <w:i/>
          <w:iCs/>
          <w:sz w:val="20"/>
          <w:szCs w:val="20"/>
        </w:rPr>
        <w:t xml:space="preserve">Evaluación de seguridad, calidad y rendimiento por proveedor</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317"/>
        <w:gridCol w:w="3010"/>
        <w:gridCol w:w="2540"/>
        <w:gridCol w:w="2539"/>
      </w:tblGrid>
      <w:tr>
        <w:trPr>
          <w:tblHeader/>
        </w:trPr>
        <w:tc>
          <w:tcPr>
            <w:tcW w:type="dxa" w:w="1317"/>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Proveedor</w:t>
            </w:r>
          </w:p>
        </w:tc>
        <w:tc>
          <w:tcPr>
            <w:tcW w:type="dxa" w:w="301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Seguridad</w:t>
            </w:r>
          </w:p>
        </w:tc>
        <w:tc>
          <w:tcPr>
            <w:tcW w:type="dxa" w:w="254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Calidad</w:t>
            </w:r>
          </w:p>
        </w:tc>
        <w:tc>
          <w:tcPr>
            <w:tcW w:type="dxa" w:w="2539"/>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Rendimiento</w:t>
            </w:r>
          </w:p>
        </w:tc>
      </w:tr>
      <w:tr>
        <w:trPr>
          <w:cantSplit/>
        </w:trPr>
        <w:tc>
          <w:tcPr>
            <w:tcW w:type="dxa" w:w="1317"/>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Supabase</w:t>
            </w:r>
          </w:p>
        </w:tc>
        <w:tc>
          <w:tcPr>
            <w:tcW w:type="dxa" w:w="301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Cifrado en tránsito (TLS) y en reposo (AES-256); cumplimiento SOC 2 Tipo 2; RLS nativo; llaves separadas anon/service_role</w:t>
            </w:r>
          </w:p>
        </w:tc>
        <w:tc>
          <w:tcPr>
            <w:tcW w:type="dxa" w:w="254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PostgreSQL estándar; migraciones por SQL versionado; respaldos automáticos</w:t>
            </w:r>
          </w:p>
        </w:tc>
        <w:tc>
          <w:tcPr>
            <w:tcW w:type="dxa" w:w="2539"/>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Región sa-east-1; índices y conexión pooling; escalamiento de cómputo en planes pagados</w:t>
            </w:r>
          </w:p>
        </w:tc>
      </w:tr>
      <w:tr>
        <w:trPr>
          <w:cantSplit/>
        </w:trPr>
        <w:tc>
          <w:tcPr>
            <w:tcW w:type="dxa" w:w="1317"/>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Vercel</w:t>
            </w:r>
          </w:p>
        </w:tc>
        <w:tc>
          <w:tcPr>
            <w:tcW w:type="dxa" w:w="301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TLS automático; protección DDoS de la red; variables de entorno cifradas; cabeceras configurables</w:t>
            </w:r>
          </w:p>
        </w:tc>
        <w:tc>
          <w:tcPr>
            <w:tcW w:type="dxa" w:w="254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Despliegues inmutables con vista previa y rollback inmediato</w:t>
            </w:r>
          </w:p>
        </w:tc>
        <w:tc>
          <w:tcPr>
            <w:tcW w:type="dxa" w:w="2539"/>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CDN global con nodo en São Paulo; caché de activos; funciones bajo demanda</w:t>
            </w:r>
          </w:p>
        </w:tc>
      </w:tr>
      <w:tr>
        <w:trPr>
          <w:cantSplit/>
        </w:trPr>
        <w:tc>
          <w:tcPr>
            <w:tcW w:type="dxa" w:w="1317"/>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Transbank</w:t>
            </w:r>
          </w:p>
        </w:tc>
        <w:tc>
          <w:tcPr>
            <w:tcW w:type="dxa" w:w="301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Proveedor certificado PCI DSS; los datos de tarjeta nunca pasan por Spotly; autenticación 3-D Secure</w:t>
            </w:r>
          </w:p>
        </w:tc>
        <w:tc>
          <w:tcPr>
            <w:tcW w:type="dxa" w:w="254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Ambiente de integración con tarjetas de prueba; documentación y SDK oficiales</w:t>
            </w:r>
          </w:p>
        </w:tc>
        <w:tc>
          <w:tcPr>
            <w:tcW w:type="dxa" w:w="2539"/>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Plataforma nacional de alta disponibilidad; respuesta en segundos</w:t>
            </w:r>
          </w:p>
        </w:tc>
      </w:tr>
      <w:tr>
        <w:trPr>
          <w:cantSplit/>
        </w:trPr>
        <w:tc>
          <w:tcPr>
            <w:tcW w:type="dxa" w:w="1317"/>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GitHub</w:t>
            </w:r>
          </w:p>
        </w:tc>
        <w:tc>
          <w:tcPr>
            <w:tcW w:type="dxa" w:w="301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Autenticación de dos factores; secretos cifrados en Actions; alertas de dependencias (Dependabot)</w:t>
            </w:r>
          </w:p>
        </w:tc>
        <w:tc>
          <w:tcPr>
            <w:tcW w:type="dxa" w:w="254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Revisión de cambios por pull request; historial completo</w:t>
            </w:r>
          </w:p>
        </w:tc>
        <w:tc>
          <w:tcPr>
            <w:tcW w:type="dxa" w:w="2539"/>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Pipelines en ejecutores gestionados</w:t>
            </w:r>
          </w:p>
        </w:tc>
      </w:tr>
    </w:tbl>
    <w:p>
      <w:pPr>
        <w:pStyle w:val="Heading3"/>
        <w:spacing w:after="100" w:before="180"/>
      </w:pPr>
      <w:r>
        <w:rPr>
          <w:rFonts w:ascii="Arial" w:cs="Arial" w:eastAsia="Arial" w:hAnsi="Arial"/>
          <w:b/>
          <w:bCs/>
          <w:sz w:val="22"/>
          <w:szCs w:val="22"/>
        </w:rPr>
        <w:t xml:space="preserve">e) Riesgos de dependencia y mitigación</w:t>
      </w:r>
    </w:p>
    <w:p>
      <w:pPr>
        <w:keepNext/>
        <w:spacing w:after="0" w:before="160"/>
      </w:pPr>
      <w:r>
        <w:rPr>
          <w:rFonts w:ascii="Arial" w:cs="Arial" w:eastAsia="Arial" w:hAnsi="Arial"/>
          <w:b/>
          <w:bCs/>
          <w:sz w:val="20"/>
          <w:szCs w:val="20"/>
        </w:rPr>
        <w:t xml:space="preserve">Tabla 17</w:t>
      </w:r>
    </w:p>
    <w:p>
      <w:pPr>
        <w:keepNext/>
        <w:spacing w:after="80"/>
      </w:pPr>
      <w:r>
        <w:rPr>
          <w:rFonts w:ascii="Arial" w:cs="Arial" w:eastAsia="Arial" w:hAnsi="Arial"/>
          <w:i/>
          <w:iCs/>
          <w:sz w:val="20"/>
          <w:szCs w:val="20"/>
        </w:rPr>
        <w:t xml:space="preserve">Riesgos asociados a los proveedores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198"/>
        <w:gridCol w:w="1223"/>
        <w:gridCol w:w="1035"/>
        <w:gridCol w:w="3950"/>
      </w:tblGrid>
      <w:tr>
        <w:trPr>
          <w:tblHeader/>
        </w:trPr>
        <w:tc>
          <w:tcPr>
            <w:tcW w:type="dxa" w:w="3198"/>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Riesgo</w:t>
            </w:r>
          </w:p>
        </w:tc>
        <w:tc>
          <w:tcPr>
            <w:tcW w:type="dxa" w:w="1223"/>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Probabilidad</w:t>
            </w:r>
          </w:p>
        </w:tc>
        <w:tc>
          <w:tcPr>
            <w:tcW w:type="dxa" w:w="1035"/>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Impacto</w:t>
            </w:r>
          </w:p>
        </w:tc>
        <w:tc>
          <w:tcPr>
            <w:tcW w:type="dxa" w:w="395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Mitigación</w:t>
            </w:r>
          </w:p>
        </w:tc>
      </w:tr>
      <w:tr>
        <w:trPr>
          <w:cantSplit/>
        </w:trPr>
        <w:tc>
          <w:tcPr>
            <w:tcW w:type="dxa" w:w="3198"/>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Pausa del proyecto Supabase por inactividad (plan Free)</w:t>
            </w:r>
          </w:p>
        </w:tc>
        <w:tc>
          <w:tcPr>
            <w:tcW w:type="dxa" w:w="122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Alta</w:t>
            </w:r>
          </w:p>
        </w:tc>
        <w:tc>
          <w:tcPr>
            <w:tcW w:type="dxa" w:w="103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Medio</w:t>
            </w:r>
          </w:p>
        </w:tc>
        <w:tc>
          <w:tcPr>
            <w:tcW w:type="dxa" w:w="395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Vercel Cron diario a /api/health; plan Pro en producción</w:t>
            </w:r>
          </w:p>
        </w:tc>
      </w:tr>
      <w:tr>
        <w:trPr>
          <w:cantSplit/>
        </w:trPr>
        <w:tc>
          <w:tcPr>
            <w:tcW w:type="dxa" w:w="3198"/>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Aumento de precios o cambio de condiciones</w:t>
            </w:r>
          </w:p>
        </w:tc>
        <w:tc>
          <w:tcPr>
            <w:tcW w:type="dxa" w:w="122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Media</w:t>
            </w:r>
          </w:p>
        </w:tc>
        <w:tc>
          <w:tcPr>
            <w:tcW w:type="dxa" w:w="103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Medio</w:t>
            </w:r>
          </w:p>
        </w:tc>
        <w:tc>
          <w:tcPr>
            <w:tcW w:type="dxa" w:w="395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PostgreSQL estándar exportable con pg_dump; script SQL único versionado; alternativas evaluadas</w:t>
            </w:r>
          </w:p>
        </w:tc>
      </w:tr>
      <w:tr>
        <w:trPr>
          <w:cantSplit/>
        </w:trPr>
        <w:tc>
          <w:tcPr>
            <w:tcW w:type="dxa" w:w="3198"/>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Caída del proveedor de pagos</w:t>
            </w:r>
          </w:p>
        </w:tc>
        <w:tc>
          <w:tcPr>
            <w:tcW w:type="dxa" w:w="122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Baja</w:t>
            </w:r>
          </w:p>
        </w:tc>
        <w:tc>
          <w:tcPr>
            <w:tcW w:type="dxa" w:w="103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Alto</w:t>
            </w:r>
          </w:p>
        </w:tc>
        <w:tc>
          <w:tcPr>
            <w:tcW w:type="dxa" w:w="395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Holds de 20 min que liberan el espacio automáticamente; mensajes de reintento al usuario</w:t>
            </w:r>
          </w:p>
        </w:tc>
      </w:tr>
      <w:tr>
        <w:trPr>
          <w:cantSplit/>
        </w:trPr>
        <w:tc>
          <w:tcPr>
            <w:tcW w:type="dxa" w:w="3198"/>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Fuga de credenciales</w:t>
            </w:r>
          </w:p>
        </w:tc>
        <w:tc>
          <w:tcPr>
            <w:tcW w:type="dxa" w:w="122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Baja</w:t>
            </w:r>
          </w:p>
        </w:tc>
        <w:tc>
          <w:tcPr>
            <w:tcW w:type="dxa" w:w="1035"/>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Alto</w:t>
            </w:r>
          </w:p>
        </w:tc>
        <w:tc>
          <w:tcPr>
            <w:tcW w:type="dxa" w:w="395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Secretos solo en variables de entorno del servidor; rotación de llaves; nunca en el repositorio</w:t>
            </w:r>
          </w:p>
        </w:tc>
      </w:tr>
      <w:tr>
        <w:trPr>
          <w:cantSplit/>
        </w:trPr>
        <w:tc>
          <w:tcPr>
            <w:tcW w:type="dxa" w:w="3198"/>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Límites del plan gratuito (correo, almacenamiento)</w:t>
            </w:r>
          </w:p>
        </w:tc>
        <w:tc>
          <w:tcPr>
            <w:tcW w:type="dxa" w:w="122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Media</w:t>
            </w:r>
          </w:p>
        </w:tc>
        <w:tc>
          <w:tcPr>
            <w:tcW w:type="dxa" w:w="1035"/>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Bajo</w:t>
            </w:r>
          </w:p>
        </w:tc>
        <w:tc>
          <w:tcPr>
            <w:tcW w:type="dxa" w:w="395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SMTP propio y plan Pro antes del lanzamiento</w:t>
            </w:r>
          </w:p>
        </w:tc>
      </w:tr>
    </w:tbl>
    <w:p>
      <w:pPr>
        <w:pStyle w:val="Heading2"/>
        <w:spacing w:after="120" w:before="220"/>
      </w:pPr>
      <w:r>
        <w:rPr>
          <w:rFonts w:ascii="Arial" w:cs="Arial" w:eastAsia="Arial" w:hAnsi="Arial"/>
          <w:b/>
          <w:bCs/>
          <w:color w:val="1F3864"/>
          <w:sz w:val="24"/>
          <w:szCs w:val="24"/>
        </w:rPr>
        <w:t xml:space="preserve">4. Selección de plataformas y desarrollo del prototipo</w:t>
      </w:r>
    </w:p>
    <w:p>
      <w:pPr>
        <w:pStyle w:val="Heading3"/>
        <w:spacing w:after="100" w:before="180"/>
      </w:pPr>
      <w:r>
        <w:rPr>
          <w:rFonts w:ascii="Arial" w:cs="Arial" w:eastAsia="Arial" w:hAnsi="Arial"/>
          <w:b/>
          <w:bCs/>
          <w:sz w:val="22"/>
          <w:szCs w:val="22"/>
        </w:rPr>
        <w:t xml:space="preserve">a) Selección de plataformas</w:t>
      </w:r>
    </w:p>
    <w:p>
      <w:pPr>
        <w:spacing w:after="140" w:line="260"/>
        <w:jc w:val="both"/>
      </w:pPr>
      <w:r>
        <w:rPr>
          <w:rFonts w:ascii="Arial" w:cs="Arial" w:eastAsia="Arial" w:hAnsi="Arial"/>
          <w:sz w:val="22"/>
          <w:szCs w:val="22"/>
        </w:rPr>
        <w:t xml:space="preserve">Se distinguen tres tipos de plataforma: la de desarrollo (donde el equipo construye), la de ejecución (donde corre la solución) y la de acceso (desde donde la usan las personas). La selección prioriza plataformas multiplataforma y gratuitas para el equipo, y la web como canal único para llegar a usuarios de escritorio y móvil sin publicar aplicaciones nativas.</w:t>
      </w:r>
    </w:p>
    <w:p>
      <w:pPr>
        <w:keepNext/>
        <w:spacing w:after="0" w:before="160"/>
      </w:pPr>
      <w:r>
        <w:rPr>
          <w:rFonts w:ascii="Arial" w:cs="Arial" w:eastAsia="Arial" w:hAnsi="Arial"/>
          <w:b/>
          <w:bCs/>
          <w:sz w:val="20"/>
          <w:szCs w:val="20"/>
        </w:rPr>
        <w:t xml:space="preserve">Tabla 18</w:t>
      </w:r>
    </w:p>
    <w:p>
      <w:pPr>
        <w:keepNext/>
        <w:spacing w:after="80"/>
      </w:pPr>
      <w:r>
        <w:rPr>
          <w:rFonts w:ascii="Arial" w:cs="Arial" w:eastAsia="Arial" w:hAnsi="Arial"/>
          <w:i/>
          <w:iCs/>
          <w:sz w:val="20"/>
          <w:szCs w:val="20"/>
        </w:rPr>
        <w:t xml:space="preserve">Plataformas seleccionadas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693"/>
        <w:gridCol w:w="3762"/>
        <w:gridCol w:w="3951"/>
      </w:tblGrid>
      <w:tr>
        <w:trPr>
          <w:tblHeader/>
        </w:trPr>
        <w:tc>
          <w:tcPr>
            <w:tcW w:type="dxa" w:w="1693"/>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Tipo</w:t>
            </w:r>
          </w:p>
        </w:tc>
        <w:tc>
          <w:tcPr>
            <w:tcW w:type="dxa" w:w="3762"/>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Plataforma</w:t>
            </w:r>
          </w:p>
        </w:tc>
        <w:tc>
          <w:tcPr>
            <w:tcW w:type="dxa" w:w="3951"/>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Justificación</w:t>
            </w:r>
          </w:p>
        </w:tc>
      </w:tr>
      <w:tr>
        <w:trPr>
          <w:cantSplit/>
        </w:trPr>
        <w:tc>
          <w:tcPr>
            <w:tcW w:type="dxa" w:w="169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Desarrollo</w:t>
            </w:r>
          </w:p>
        </w:tc>
        <w:tc>
          <w:tcPr>
            <w:tcW w:type="dxa" w:w="3762"/>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Windows / macOS / Linux con Node.js 20 LTS, VS Code, Git</w:t>
            </w:r>
          </w:p>
        </w:tc>
        <w:tc>
          <w:tcPr>
            <w:tcW w:type="dxa" w:w="395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Herramientas gratuitas y multiplataforma; mismo entorno para todo el equipo</w:t>
            </w:r>
          </w:p>
        </w:tc>
      </w:tr>
      <w:tr>
        <w:trPr>
          <w:cantSplit/>
        </w:trPr>
        <w:tc>
          <w:tcPr>
            <w:tcW w:type="dxa" w:w="169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Construcción</w:t>
            </w:r>
          </w:p>
        </w:tc>
        <w:tc>
          <w:tcPr>
            <w:tcW w:type="dxa" w:w="3762"/>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Vite 6 (build) + TypeScript (tsc)</w:t>
            </w:r>
          </w:p>
        </w:tc>
        <w:tc>
          <w:tcPr>
            <w:tcW w:type="dxa" w:w="395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Compilación en segundos, división de código y carga diferida</w:t>
            </w:r>
          </w:p>
        </w:tc>
      </w:tr>
      <w:tr>
        <w:trPr>
          <w:cantSplit/>
        </w:trPr>
        <w:tc>
          <w:tcPr>
            <w:tcW w:type="dxa" w:w="169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Ejecución (frontend)</w:t>
            </w:r>
          </w:p>
        </w:tc>
        <w:tc>
          <w:tcPr>
            <w:tcW w:type="dxa" w:w="3762"/>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Vercel Edge Network; alternativa GitHub Pages (/spotly/ con HashRouter)</w:t>
            </w:r>
          </w:p>
        </w:tc>
        <w:tc>
          <w:tcPr>
            <w:tcW w:type="dxa" w:w="395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Sitio estático servido desde CDN; GitHub Pages sirve como demo gratuita</w:t>
            </w:r>
          </w:p>
        </w:tc>
      </w:tr>
      <w:tr>
        <w:trPr>
          <w:cantSplit/>
        </w:trPr>
        <w:tc>
          <w:tcPr>
            <w:tcW w:type="dxa" w:w="169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Ejecución (backend)</w:t>
            </w:r>
          </w:p>
        </w:tc>
        <w:tc>
          <w:tcPr>
            <w:tcW w:type="dxa" w:w="3762"/>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Vercel Functions; alternativa Render con Express (render.yaml)</w:t>
            </w:r>
          </w:p>
        </w:tc>
        <w:tc>
          <w:tcPr>
            <w:tcW w:type="dxa" w:w="395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Mismo código de API en ambos entornos</w:t>
            </w:r>
          </w:p>
        </w:tc>
      </w:tr>
      <w:tr>
        <w:trPr>
          <w:cantSplit/>
        </w:trPr>
        <w:tc>
          <w:tcPr>
            <w:tcW w:type="dxa" w:w="169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Datos</w:t>
            </w:r>
          </w:p>
        </w:tc>
        <w:tc>
          <w:tcPr>
            <w:tcW w:type="dxa" w:w="3762"/>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Supabase (PostgreSQL 15+)</w:t>
            </w:r>
          </w:p>
        </w:tc>
        <w:tc>
          <w:tcPr>
            <w:tcW w:type="dxa" w:w="395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Servicio gestionado con RLS y extensiones requeridas</w:t>
            </w:r>
          </w:p>
        </w:tc>
      </w:tr>
      <w:tr>
        <w:trPr>
          <w:cantSplit/>
        </w:trPr>
        <w:tc>
          <w:tcPr>
            <w:tcW w:type="dxa" w:w="169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Acceso de usuarios</w:t>
            </w:r>
          </w:p>
        </w:tc>
        <w:tc>
          <w:tcPr>
            <w:tcW w:type="dxa" w:w="3762"/>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Navegador web en escritorio y móvil (diseño responsive)</w:t>
            </w:r>
          </w:p>
        </w:tc>
        <w:tc>
          <w:tcPr>
            <w:tcW w:type="dxa" w:w="395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Sin instalación; un solo código para todos los dispositivos</w:t>
            </w:r>
          </w:p>
        </w:tc>
      </w:tr>
      <w:tr>
        <w:trPr>
          <w:cantSplit/>
        </w:trPr>
        <w:tc>
          <w:tcPr>
            <w:tcW w:type="dxa" w:w="169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Plataforma de pagos</w:t>
            </w:r>
          </w:p>
        </w:tc>
        <w:tc>
          <w:tcPr>
            <w:tcW w:type="dxa" w:w="3762"/>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Transbank (integración → producción)</w:t>
            </w:r>
          </w:p>
        </w:tc>
        <w:tc>
          <w:tcPr>
            <w:tcW w:type="dxa" w:w="395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Cambio de ambiente solo por variables de entorno</w:t>
            </w:r>
          </w:p>
        </w:tc>
      </w:tr>
    </w:tbl>
    <w:p>
      <w:pPr>
        <w:pStyle w:val="Heading3"/>
        <w:spacing w:after="100" w:before="180"/>
      </w:pPr>
      <w:r>
        <w:rPr>
          <w:rFonts w:ascii="Arial" w:cs="Arial" w:eastAsia="Arial" w:hAnsi="Arial"/>
          <w:b/>
          <w:bCs/>
          <w:sz w:val="22"/>
          <w:szCs w:val="22"/>
        </w:rPr>
        <w:t xml:space="preserve">b) Descripción del prototipo</w:t>
      </w:r>
    </w:p>
    <w:p>
      <w:pPr>
        <w:spacing w:after="140" w:line="260"/>
        <w:jc w:val="both"/>
      </w:pPr>
      <w:r>
        <w:rPr>
          <w:rFonts w:ascii="Arial" w:cs="Arial" w:eastAsia="Arial" w:hAnsi="Arial"/>
          <w:sz w:val="22"/>
          <w:szCs w:val="22"/>
        </w:rPr>
        <w:t xml:space="preserve">El prototipo de Spotly es una aplicación web funcional, no una maqueta. Implementa los flujos completos de arrendatario, propietario y administrador sobre datos reales en Supabase y pagos en el ambiente de integración de Transbank (tarjeta de prueba VISA 4051 8856 0044 6623). La base de datos se crea con un único script transaccional (supabase/reset-and-setup.sql), lo que permite reproducir el entorno en cualquier proyecto nuevo.</w:t>
      </w:r>
    </w:p>
    <w:p>
      <w:pPr>
        <w:spacing w:after="140" w:line="260"/>
        <w:jc w:val="both"/>
      </w:pPr>
      <w:r>
        <w:rPr>
          <w:rFonts w:ascii="Arial" w:cs="Arial" w:eastAsia="Arial" w:hAnsi="Arial"/>
          <w:sz w:val="22"/>
          <w:szCs w:val="22"/>
        </w:rPr>
        <w:t xml:space="preserve">El prototipo cuenta con tres roles: </w:t>
      </w:r>
      <w:r>
        <w:rPr>
          <w:rFonts w:ascii="Arial" w:cs="Arial" w:eastAsia="Arial" w:hAnsi="Arial"/>
          <w:b/>
          <w:bCs/>
          <w:sz w:val="22"/>
          <w:szCs w:val="22"/>
        </w:rPr>
        <w:t xml:space="preserve">arrendatario</w:t>
      </w:r>
      <w:r>
        <w:rPr>
          <w:rFonts w:ascii="Arial" w:cs="Arial" w:eastAsia="Arial" w:hAnsi="Arial"/>
          <w:sz w:val="22"/>
          <w:szCs w:val="22"/>
        </w:rPr>
        <w:t xml:space="preserve">, que busca, reserva, firma y paga; </w:t>
      </w:r>
      <w:r>
        <w:rPr>
          <w:rFonts w:ascii="Arial" w:cs="Arial" w:eastAsia="Arial" w:hAnsi="Arial"/>
          <w:b/>
          <w:bCs/>
          <w:sz w:val="22"/>
          <w:szCs w:val="22"/>
        </w:rPr>
        <w:t xml:space="preserve">propietario</w:t>
      </w:r>
      <w:r>
        <w:rPr>
          <w:rFonts w:ascii="Arial" w:cs="Arial" w:eastAsia="Arial" w:hAnsi="Arial"/>
          <w:sz w:val="22"/>
          <w:szCs w:val="22"/>
        </w:rPr>
        <w:t xml:space="preserve">, que publica espacios, gestiona su calendario y revisa sus ingresos; y </w:t>
      </w:r>
      <w:r>
        <w:rPr>
          <w:rFonts w:ascii="Arial" w:cs="Arial" w:eastAsia="Arial" w:hAnsi="Arial"/>
          <w:b/>
          <w:bCs/>
          <w:sz w:val="22"/>
          <w:szCs w:val="22"/>
        </w:rPr>
        <w:t xml:space="preserve">administrador</w:t>
      </w:r>
      <w:r>
        <w:rPr>
          <w:rFonts w:ascii="Arial" w:cs="Arial" w:eastAsia="Arial" w:hAnsi="Arial"/>
          <w:sz w:val="22"/>
          <w:szCs w:val="22"/>
        </w:rPr>
        <w:t xml:space="preserve">, que modera publicaciones, revisa identidades, resuelve disputas y monitorea indicadores.</w:t>
      </w:r>
    </w:p>
    <w:p>
      <w:pPr>
        <w:pStyle w:val="Heading3"/>
        <w:spacing w:after="100" w:before="180"/>
      </w:pPr>
      <w:r>
        <w:rPr>
          <w:rFonts w:ascii="Arial" w:cs="Arial" w:eastAsia="Arial" w:hAnsi="Arial"/>
          <w:b/>
          <w:bCs/>
          <w:sz w:val="22"/>
          <w:szCs w:val="22"/>
        </w:rPr>
        <w:t xml:space="preserve">c) Procesos y subprocesos implementados</w:t>
      </w:r>
    </w:p>
    <w:p>
      <w:pPr>
        <w:keepNext/>
        <w:spacing w:after="0" w:before="160"/>
      </w:pPr>
      <w:r>
        <w:rPr>
          <w:rFonts w:ascii="Arial" w:cs="Arial" w:eastAsia="Arial" w:hAnsi="Arial"/>
          <w:b/>
          <w:bCs/>
          <w:sz w:val="20"/>
          <w:szCs w:val="20"/>
        </w:rPr>
        <w:t xml:space="preserve">Tabla 19</w:t>
      </w:r>
    </w:p>
    <w:p>
      <w:pPr>
        <w:keepNext/>
        <w:spacing w:after="80"/>
      </w:pPr>
      <w:r>
        <w:rPr>
          <w:rFonts w:ascii="Arial" w:cs="Arial" w:eastAsia="Arial" w:hAnsi="Arial"/>
          <w:i/>
          <w:iCs/>
          <w:sz w:val="20"/>
          <w:szCs w:val="20"/>
        </w:rPr>
        <w:t xml:space="preserve">Procesos y subprocesos del prototipo</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881"/>
        <w:gridCol w:w="3762"/>
        <w:gridCol w:w="3763"/>
      </w:tblGrid>
      <w:tr>
        <w:trPr>
          <w:tblHeader/>
        </w:trPr>
        <w:tc>
          <w:tcPr>
            <w:tcW w:type="dxa" w:w="1881"/>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Proceso</w:t>
            </w:r>
          </w:p>
        </w:tc>
        <w:tc>
          <w:tcPr>
            <w:tcW w:type="dxa" w:w="3762"/>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Subprocesos</w:t>
            </w:r>
          </w:p>
        </w:tc>
        <w:tc>
          <w:tcPr>
            <w:tcW w:type="dxa" w:w="3763"/>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Reglas y controles clave</w:t>
            </w:r>
          </w:p>
        </w:tc>
      </w:tr>
      <w:tr>
        <w:trPr>
          <w:cantSplit/>
        </w:trPr>
        <w:tc>
          <w:tcPr>
            <w:tcW w:type="dxa" w:w="188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P1 Gestión de cuentas</w:t>
            </w:r>
          </w:p>
        </w:tc>
        <w:tc>
          <w:tcPr>
            <w:tcW w:type="dxa" w:w="3762"/>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P1.1 Registro con validación de mayoría de edad</w:t>
            </w:r>
          </w:p>
          <w:p>
            <w:pPr>
              <w:jc w:val="left"/>
            </w:pPr>
            <w:r>
              <w:rPr>
                <w:rFonts w:ascii="Arial" w:cs="Arial" w:eastAsia="Arial" w:hAnsi="Arial"/>
                <w:sz w:val="18"/>
                <w:szCs w:val="18"/>
              </w:rPr>
              <w:t xml:space="preserve">P1.2 Confirmación de correo</w:t>
            </w:r>
          </w:p>
          <w:p>
            <w:pPr>
              <w:jc w:val="left"/>
            </w:pPr>
            <w:r>
              <w:rPr>
                <w:rFonts w:ascii="Arial" w:cs="Arial" w:eastAsia="Arial" w:hAnsi="Arial"/>
                <w:sz w:val="18"/>
                <w:szCs w:val="18"/>
              </w:rPr>
              <w:t xml:space="preserve">P1.3 Inicio de sesión</w:t>
            </w:r>
          </w:p>
          <w:p>
            <w:pPr>
              <w:jc w:val="left"/>
            </w:pPr>
            <w:r>
              <w:rPr>
                <w:rFonts w:ascii="Arial" w:cs="Arial" w:eastAsia="Arial" w:hAnsi="Arial"/>
                <w:sz w:val="18"/>
                <w:szCs w:val="18"/>
              </w:rPr>
              <w:t xml:space="preserve">P1.4 Gestión de perfil y consentimientos</w:t>
            </w:r>
          </w:p>
        </w:tc>
        <w:tc>
          <w:tcPr>
            <w:tcW w:type="dxa" w:w="376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Solo mayores de 18 años; bloqueo tras 5 intentos fallidos por correo e IP (20 por IP) durante 15 min; registro de consentimientos</w:t>
            </w:r>
          </w:p>
        </w:tc>
      </w:tr>
      <w:tr>
        <w:trPr>
          <w:cantSplit/>
        </w:trPr>
        <w:tc>
          <w:tcPr>
            <w:tcW w:type="dxa" w:w="188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P2 Verificación de identidad (KYC)</w:t>
            </w:r>
          </w:p>
        </w:tc>
        <w:tc>
          <w:tcPr>
            <w:tcW w:type="dxa" w:w="3762"/>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P2.1 Carga de cédula (anverso y reverso)</w:t>
            </w:r>
          </w:p>
          <w:p>
            <w:pPr>
              <w:jc w:val="left"/>
            </w:pPr>
            <w:r>
              <w:rPr>
                <w:rFonts w:ascii="Arial" w:cs="Arial" w:eastAsia="Arial" w:hAnsi="Arial"/>
                <w:sz w:val="18"/>
                <w:szCs w:val="18"/>
              </w:rPr>
              <w:t xml:space="preserve">P2.2 Selfie</w:t>
            </w:r>
          </w:p>
          <w:p>
            <w:pPr>
              <w:jc w:val="left"/>
            </w:pPr>
            <w:r>
              <w:rPr>
                <w:rFonts w:ascii="Arial" w:cs="Arial" w:eastAsia="Arial" w:hAnsi="Arial"/>
                <w:sz w:val="18"/>
                <w:szCs w:val="18"/>
              </w:rPr>
              <w:t xml:space="preserve">P2.3 Certificado de antecedentes</w:t>
            </w:r>
          </w:p>
          <w:p>
            <w:pPr>
              <w:jc w:val="left"/>
            </w:pPr>
            <w:r>
              <w:rPr>
                <w:rFonts w:ascii="Arial" w:cs="Arial" w:eastAsia="Arial" w:hAnsi="Arial"/>
                <w:sz w:val="18"/>
                <w:szCs w:val="18"/>
              </w:rPr>
              <w:t xml:space="preserve">P2.4 Revisión manual del administrador</w:t>
            </w:r>
          </w:p>
        </w:tc>
        <w:tc>
          <w:tcPr>
            <w:tcW w:type="dxa" w:w="376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Documentos en buckets privados con URL firmadas de 1 h; sin aprobación no se puede reservar ni publicar</w:t>
            </w:r>
          </w:p>
        </w:tc>
      </w:tr>
      <w:tr>
        <w:trPr>
          <w:cantSplit/>
        </w:trPr>
        <w:tc>
          <w:tcPr>
            <w:tcW w:type="dxa" w:w="188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P3 Publicación de espacios</w:t>
            </w:r>
          </w:p>
        </w:tc>
        <w:tc>
          <w:tcPr>
            <w:tcW w:type="dxa" w:w="3762"/>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P3.1 Datos y tipo de espacio</w:t>
            </w:r>
          </w:p>
          <w:p>
            <w:pPr>
              <w:jc w:val="left"/>
            </w:pPr>
            <w:r>
              <w:rPr>
                <w:rFonts w:ascii="Arial" w:cs="Arial" w:eastAsia="Arial" w:hAnsi="Arial"/>
                <w:sz w:val="18"/>
                <w:szCs w:val="18"/>
              </w:rPr>
              <w:t xml:space="preserve">P3.2 Fotos, ubicación y precios por hora/día/mes</w:t>
            </w:r>
          </w:p>
          <w:p>
            <w:pPr>
              <w:jc w:val="left"/>
            </w:pPr>
            <w:r>
              <w:rPr>
                <w:rFonts w:ascii="Arial" w:cs="Arial" w:eastAsia="Arial" w:hAnsi="Arial"/>
                <w:sz w:val="18"/>
                <w:szCs w:val="18"/>
              </w:rPr>
              <w:t xml:space="preserve">P3.3 Envío a moderación</w:t>
            </w:r>
          </w:p>
          <w:p>
            <w:pPr>
              <w:jc w:val="left"/>
            </w:pPr>
            <w:r>
              <w:rPr>
                <w:rFonts w:ascii="Arial" w:cs="Arial" w:eastAsia="Arial" w:hAnsi="Arial"/>
                <w:sz w:val="18"/>
                <w:szCs w:val="18"/>
              </w:rPr>
              <w:t xml:space="preserve">P3.4 Aprobación o rechazo</w:t>
            </w:r>
          </w:p>
        </w:tc>
        <w:tc>
          <w:tcPr>
            <w:tcW w:type="dxa" w:w="376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Wizard de 3 pasos; RUT y dirección exacta del propietario son privados (grants por columna)</w:t>
            </w:r>
          </w:p>
        </w:tc>
      </w:tr>
      <w:tr>
        <w:trPr>
          <w:cantSplit/>
        </w:trPr>
        <w:tc>
          <w:tcPr>
            <w:tcW w:type="dxa" w:w="188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P4 Búsqueda y reserva</w:t>
            </w:r>
          </w:p>
        </w:tc>
        <w:tc>
          <w:tcPr>
            <w:tcW w:type="dxa" w:w="3762"/>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P4.1 Búsqueda con filtros</w:t>
            </w:r>
          </w:p>
          <w:p>
            <w:pPr>
              <w:jc w:val="left"/>
            </w:pPr>
            <w:r>
              <w:rPr>
                <w:rFonts w:ascii="Arial" w:cs="Arial" w:eastAsia="Arial" w:hAnsi="Arial"/>
                <w:sz w:val="18"/>
                <w:szCs w:val="18"/>
              </w:rPr>
              <w:t xml:space="preserve">P4.2 Detalle y calendario</w:t>
            </w:r>
          </w:p>
          <w:p>
            <w:pPr>
              <w:jc w:val="left"/>
            </w:pPr>
            <w:r>
              <w:rPr>
                <w:rFonts w:ascii="Arial" w:cs="Arial" w:eastAsia="Arial" w:hAnsi="Arial"/>
                <w:sz w:val="18"/>
                <w:szCs w:val="18"/>
              </w:rPr>
              <w:t xml:space="preserve">P4.3 Cálculo de monto</w:t>
            </w:r>
          </w:p>
          <w:p>
            <w:pPr>
              <w:jc w:val="left"/>
            </w:pPr>
            <w:r>
              <w:rPr>
                <w:rFonts w:ascii="Arial" w:cs="Arial" w:eastAsia="Arial" w:hAnsi="Arial"/>
                <w:sz w:val="18"/>
                <w:szCs w:val="18"/>
              </w:rPr>
              <w:t xml:space="preserve">P4.4 Creación de reserva con hold</w:t>
            </w:r>
          </w:p>
        </w:tc>
        <w:tc>
          <w:tcPr>
            <w:tcW w:type="dxa" w:w="376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Restricción de exclusión GiST impide solapamientos; el trigger recalcula el monto igual que pricing.ts</w:t>
            </w:r>
          </w:p>
        </w:tc>
      </w:tr>
      <w:tr>
        <w:trPr>
          <w:cantSplit/>
        </w:trPr>
        <w:tc>
          <w:tcPr>
            <w:tcW w:type="dxa" w:w="188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P5 Contrato digital</w:t>
            </w:r>
          </w:p>
        </w:tc>
        <w:tc>
          <w:tcPr>
            <w:tcW w:type="dxa" w:w="3762"/>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P5.1 Generación del contenido canónico</w:t>
            </w:r>
          </w:p>
          <w:p>
            <w:pPr>
              <w:jc w:val="left"/>
            </w:pPr>
            <w:r>
              <w:rPr>
                <w:rFonts w:ascii="Arial" w:cs="Arial" w:eastAsia="Arial" w:hAnsi="Arial"/>
                <w:sz w:val="18"/>
                <w:szCs w:val="18"/>
              </w:rPr>
              <w:t xml:space="preserve">P5.2 Huella SHA-256</w:t>
            </w:r>
          </w:p>
          <w:p>
            <w:pPr>
              <w:jc w:val="left"/>
            </w:pPr>
            <w:r>
              <w:rPr>
                <w:rFonts w:ascii="Arial" w:cs="Arial" w:eastAsia="Arial" w:hAnsi="Arial"/>
                <w:sz w:val="18"/>
                <w:szCs w:val="18"/>
              </w:rPr>
              <w:t xml:space="preserve">P5.3 Firma electrónica simple</w:t>
            </w:r>
          </w:p>
          <w:p>
            <w:pPr>
              <w:jc w:val="left"/>
            </w:pPr>
            <w:r>
              <w:rPr>
                <w:rFonts w:ascii="Arial" w:cs="Arial" w:eastAsia="Arial" w:hAnsi="Arial"/>
                <w:sz w:val="18"/>
                <w:szCs w:val="18"/>
              </w:rPr>
              <w:t xml:space="preserve">P5.4 PDF descargable y control de integridad</w:t>
            </w:r>
          </w:p>
        </w:tc>
        <w:tc>
          <w:tcPr>
            <w:tcW w:type="dxa" w:w="376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Formato spotly-contract-v1; la huella se recalcula al abrir el contrato; Ley 19.799</w:t>
            </w:r>
          </w:p>
        </w:tc>
      </w:tr>
      <w:tr>
        <w:trPr>
          <w:cantSplit/>
        </w:trPr>
        <w:tc>
          <w:tcPr>
            <w:tcW w:type="dxa" w:w="188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P6 Pago y reembolso</w:t>
            </w:r>
          </w:p>
        </w:tc>
        <w:tc>
          <w:tcPr>
            <w:tcW w:type="dxa" w:w="3762"/>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P6.1 Pago Webpay Plus u Oneclick</w:t>
            </w:r>
          </w:p>
          <w:p>
            <w:pPr>
              <w:jc w:val="left"/>
            </w:pPr>
            <w:r>
              <w:rPr>
                <w:rFonts w:ascii="Arial" w:cs="Arial" w:eastAsia="Arial" w:hAnsi="Arial"/>
                <w:sz w:val="18"/>
                <w:szCs w:val="18"/>
              </w:rPr>
              <w:t xml:space="preserve">P6.2 Confirmación (commit) en servidor</w:t>
            </w:r>
          </w:p>
          <w:p>
            <w:pPr>
              <w:jc w:val="left"/>
            </w:pPr>
            <w:r>
              <w:rPr>
                <w:rFonts w:ascii="Arial" w:cs="Arial" w:eastAsia="Arial" w:hAnsi="Arial"/>
                <w:sz w:val="18"/>
                <w:szCs w:val="18"/>
              </w:rPr>
              <w:t xml:space="preserve">P6.3 Pantalla de progreso y resultado (éxito, lista de espera, rechazo)</w:t>
            </w:r>
          </w:p>
          <w:p>
            <w:pPr>
              <w:jc w:val="left"/>
            </w:pPr>
            <w:r>
              <w:rPr>
                <w:rFonts w:ascii="Arial" w:cs="Arial" w:eastAsia="Arial" w:hAnsi="Arial"/>
                <w:sz w:val="18"/>
                <w:szCs w:val="18"/>
              </w:rPr>
              <w:t xml:space="preserve">P6.4 Liquidación al propietario</w:t>
            </w:r>
          </w:p>
          <w:p>
            <w:pPr>
              <w:jc w:val="left"/>
            </w:pPr>
            <w:r>
              <w:rPr>
                <w:rFonts w:ascii="Arial" w:cs="Arial" w:eastAsia="Arial" w:hAnsi="Arial"/>
                <w:sz w:val="18"/>
                <w:szCs w:val="18"/>
              </w:rPr>
              <w:t xml:space="preserve">P6.5 Reembolso según política</w:t>
            </w:r>
          </w:p>
        </w:tc>
        <w:tc>
          <w:tcPr>
            <w:tcW w:type="dxa" w:w="376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Hold de 20 min; compute_refund replica refundPolicy.ts; tbk_user solo en servidor</w:t>
            </w:r>
          </w:p>
        </w:tc>
      </w:tr>
      <w:tr>
        <w:trPr>
          <w:cantSplit/>
        </w:trPr>
        <w:tc>
          <w:tcPr>
            <w:tcW w:type="dxa" w:w="188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P7 Gestión del propietario</w:t>
            </w:r>
          </w:p>
        </w:tc>
        <w:tc>
          <w:tcPr>
            <w:tcW w:type="dxa" w:w="3762"/>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P7.1 Panel de reservas y solicitudes</w:t>
            </w:r>
          </w:p>
          <w:p>
            <w:pPr>
              <w:jc w:val="left"/>
            </w:pPr>
            <w:r>
              <w:rPr>
                <w:rFonts w:ascii="Arial" w:cs="Arial" w:eastAsia="Arial" w:hAnsi="Arial"/>
                <w:sz w:val="18"/>
                <w:szCs w:val="18"/>
              </w:rPr>
              <w:t xml:space="preserve">P7.2 Calendario y bloqueos</w:t>
            </w:r>
          </w:p>
          <w:p>
            <w:pPr>
              <w:jc w:val="left"/>
            </w:pPr>
            <w:r>
              <w:rPr>
                <w:rFonts w:ascii="Arial" w:cs="Arial" w:eastAsia="Arial" w:hAnsi="Arial"/>
                <w:sz w:val="18"/>
                <w:szCs w:val="18"/>
              </w:rPr>
              <w:t xml:space="preserve">P7.3 Reserva inmediata o con aprobación</w:t>
            </w:r>
          </w:p>
          <w:p>
            <w:pPr>
              <w:jc w:val="left"/>
            </w:pPr>
            <w:r>
              <w:rPr>
                <w:rFonts w:ascii="Arial" w:cs="Arial" w:eastAsia="Arial" w:hAnsi="Arial"/>
                <w:sz w:val="18"/>
                <w:szCs w:val="18"/>
              </w:rPr>
              <w:t xml:space="preserve">P7.4 Cancelación con reembolso total</w:t>
            </w:r>
          </w:p>
          <w:p>
            <w:pPr>
              <w:jc w:val="left"/>
            </w:pPr>
            <w:r>
              <w:rPr>
                <w:rFonts w:ascii="Arial" w:cs="Arial" w:eastAsia="Arial" w:hAnsi="Arial"/>
                <w:sz w:val="18"/>
                <w:szCs w:val="18"/>
              </w:rPr>
              <w:t xml:space="preserve">P7.5 Indicadores por día, semana o mes</w:t>
            </w:r>
          </w:p>
          <w:p>
            <w:pPr>
              <w:jc w:val="left"/>
            </w:pPr>
            <w:r>
              <w:rPr>
                <w:rFonts w:ascii="Arial" w:cs="Arial" w:eastAsia="Arial" w:hAnsi="Arial"/>
                <w:sz w:val="18"/>
                <w:szCs w:val="18"/>
              </w:rPr>
              <w:t xml:space="preserve">P7.6 Reporte de ingresos (CSV)</w:t>
            </w:r>
          </w:p>
        </w:tc>
        <w:tc>
          <w:tcPr>
            <w:tcW w:type="dxa" w:w="376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Solo ve sus propios espacios (RLS); al cancelar, compute_refund devuelve el 100 %</w:t>
            </w:r>
          </w:p>
        </w:tc>
      </w:tr>
      <w:tr>
        <w:trPr>
          <w:cantSplit/>
        </w:trPr>
        <w:tc>
          <w:tcPr>
            <w:tcW w:type="dxa" w:w="188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P8 Post-arriendo</w:t>
            </w:r>
          </w:p>
        </w:tc>
        <w:tc>
          <w:tcPr>
            <w:tcW w:type="dxa" w:w="3762"/>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P8.1 Valoraciones</w:t>
            </w:r>
          </w:p>
          <w:p>
            <w:pPr>
              <w:jc w:val="left"/>
            </w:pPr>
            <w:r>
              <w:rPr>
                <w:rFonts w:ascii="Arial" w:cs="Arial" w:eastAsia="Arial" w:hAnsi="Arial"/>
                <w:sz w:val="18"/>
                <w:szCs w:val="18"/>
              </w:rPr>
              <w:t xml:space="preserve">P8.2 Disputas</w:t>
            </w:r>
          </w:p>
          <w:p>
            <w:pPr>
              <w:jc w:val="left"/>
            </w:pPr>
            <w:r>
              <w:rPr>
                <w:rFonts w:ascii="Arial" w:cs="Arial" w:eastAsia="Arial" w:hAnsi="Arial"/>
                <w:sz w:val="18"/>
                <w:szCs w:val="18"/>
              </w:rPr>
              <w:t xml:space="preserve">P8.3 Tickets de soporte</w:t>
            </w:r>
          </w:p>
          <w:p>
            <w:pPr>
              <w:jc w:val="left"/>
            </w:pPr>
            <w:r>
              <w:rPr>
                <w:rFonts w:ascii="Arial" w:cs="Arial" w:eastAsia="Arial" w:hAnsi="Arial"/>
                <w:sz w:val="18"/>
                <w:szCs w:val="18"/>
              </w:rPr>
              <w:t xml:space="preserve">P8.4 Notificaciones en tiempo real</w:t>
            </w:r>
          </w:p>
          <w:p>
            <w:pPr>
              <w:jc w:val="left"/>
            </w:pPr>
            <w:r>
              <w:rPr>
                <w:rFonts w:ascii="Arial" w:cs="Arial" w:eastAsia="Arial" w:hAnsi="Arial"/>
                <w:sz w:val="18"/>
                <w:szCs w:val="18"/>
              </w:rPr>
              <w:t xml:space="preserve">P8.5 Historial de canceladas por actor</w:t>
            </w:r>
          </w:p>
        </w:tc>
        <w:tc>
          <w:tcPr>
            <w:tcW w:type="dxa" w:w="376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Solo puede valorar quien completó una reserva; las anuladas por pago fallido no entran al historial</w:t>
            </w:r>
          </w:p>
        </w:tc>
      </w:tr>
      <w:tr>
        <w:trPr>
          <w:cantSplit/>
        </w:trPr>
        <w:tc>
          <w:tcPr>
            <w:tcW w:type="dxa" w:w="188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P9 Administración</w:t>
            </w:r>
          </w:p>
        </w:tc>
        <w:tc>
          <w:tcPr>
            <w:tcW w:type="dxa" w:w="3762"/>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P9.1 Moderación</w:t>
            </w:r>
          </w:p>
          <w:p>
            <w:pPr>
              <w:jc w:val="left"/>
            </w:pPr>
            <w:r>
              <w:rPr>
                <w:rFonts w:ascii="Arial" w:cs="Arial" w:eastAsia="Arial" w:hAnsi="Arial"/>
                <w:sz w:val="18"/>
                <w:szCs w:val="18"/>
              </w:rPr>
              <w:t xml:space="preserve">P9.2 Revisión KYC</w:t>
            </w:r>
          </w:p>
          <w:p>
            <w:pPr>
              <w:jc w:val="left"/>
            </w:pPr>
            <w:r>
              <w:rPr>
                <w:rFonts w:ascii="Arial" w:cs="Arial" w:eastAsia="Arial" w:hAnsi="Arial"/>
                <w:sz w:val="18"/>
                <w:szCs w:val="18"/>
              </w:rPr>
              <w:t xml:space="preserve">P9.3 KPI y reportes</w:t>
            </w:r>
          </w:p>
          <w:p>
            <w:pPr>
              <w:jc w:val="left"/>
            </w:pPr>
            <w:r>
              <w:rPr>
                <w:rFonts w:ascii="Arial" w:cs="Arial" w:eastAsia="Arial" w:hAnsi="Arial"/>
                <w:sz w:val="18"/>
                <w:szCs w:val="18"/>
              </w:rPr>
              <w:t xml:space="preserve">P9.4 Descuentos</w:t>
            </w:r>
          </w:p>
          <w:p>
            <w:pPr>
              <w:jc w:val="left"/>
            </w:pPr>
            <w:r>
              <w:rPr>
                <w:rFonts w:ascii="Arial" w:cs="Arial" w:eastAsia="Arial" w:hAnsi="Arial"/>
                <w:sz w:val="18"/>
                <w:szCs w:val="18"/>
              </w:rPr>
              <w:t xml:space="preserve">P9.5 Auditoría y anonimización</w:t>
            </w:r>
          </w:p>
        </w:tc>
        <w:tc>
          <w:tcPr>
            <w:tcW w:type="dxa" w:w="376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admin_kpis; audit_logs de solo inserción; admin_anonymize_user para derechos ARCO</w:t>
            </w:r>
          </w:p>
        </w:tc>
      </w:tr>
    </w:tbl>
    <w:p>
      <w:pPr>
        <w:pStyle w:val="Heading3"/>
        <w:spacing w:after="100" w:before="180"/>
      </w:pPr>
      <w:r>
        <w:rPr>
          <w:rFonts w:ascii="Arial" w:cs="Arial" w:eastAsia="Arial" w:hAnsi="Arial"/>
          <w:b/>
          <w:bCs/>
          <w:sz w:val="22"/>
          <w:szCs w:val="22"/>
        </w:rPr>
        <w:t xml:space="preserve">d) Flujo del proceso principal</w:t>
      </w:r>
    </w:p>
    <w:p>
      <w:pPr>
        <w:spacing w:after="140" w:line="260"/>
        <w:jc w:val="both"/>
      </w:pPr>
      <w:r>
        <w:rPr>
          <w:rFonts w:ascii="Arial" w:cs="Arial" w:eastAsia="Arial" w:hAnsi="Arial"/>
          <w:sz w:val="22"/>
          <w:szCs w:val="22"/>
        </w:rPr>
        <w:t xml:space="preserve">El proceso de mayor valor para el negocio es la reserva pagada, que encadena los procesos P4, P5 y P6. La figura muestra sus decisiones y los controles que impiden estados inconsistentes.</w:t>
      </w:r>
    </w:p>
    <w:p>
      <w:pPr>
        <w:keepNext/>
        <w:spacing w:after="0" w:before="160"/>
      </w:pPr>
      <w:r>
        <w:rPr>
          <w:rFonts w:ascii="Arial" w:cs="Arial" w:eastAsia="Arial" w:hAnsi="Arial"/>
          <w:b/>
          <w:bCs/>
          <w:sz w:val="20"/>
          <w:szCs w:val="20"/>
        </w:rPr>
        <w:t xml:space="preserve">Figura 5</w:t>
      </w:r>
    </w:p>
    <w:p>
      <w:pPr>
        <w:keepNext/>
        <w:spacing w:after="80"/>
      </w:pPr>
      <w:r>
        <w:rPr>
          <w:rFonts w:ascii="Arial" w:cs="Arial" w:eastAsia="Arial" w:hAnsi="Arial"/>
          <w:i/>
          <w:iCs/>
          <w:sz w:val="20"/>
          <w:szCs w:val="20"/>
        </w:rPr>
        <w:t xml:space="preserve">Diagrama de flujo del proceso principal: búsqueda, reserva, contrato y pago</w:t>
      </w:r>
    </w:p>
    <w:p>
      <w:pPr>
        <w:keepNext/>
        <w:jc w:val="center"/>
      </w:pPr>
      <w:r>
        <w:drawing>
          <wp:inline distT="0" distB="0" distL="0" distR="0">
            <wp:extent cx="2819400" cy="5334000"/>
            <wp:effectExtent t="0" r="0" b="0" l="0"/>
            <wp:docPr id="1" name="proceso.png" descr="Diagrama de flujo del proceso principal: búsqueda, reserva, contrato y pago" title="Diagrama de flujo del proceso principal: búsqueda, reserva, contrato y pa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19400" cy="5334000"/>
                    </a:xfrm>
                    <a:prstGeom prst="rect">
                      <a:avLst/>
                    </a:prstGeom>
                  </pic:spPr>
                </pic:pic>
              </a:graphicData>
            </a:graphic>
          </wp:inline>
        </w:drawing>
      </w:r>
    </w:p>
    <w:p>
      <w:pPr>
        <w:spacing w:after="180" w:before="60"/>
      </w:pPr>
      <w:r>
        <w:rPr>
          <w:rFonts w:ascii="Arial" w:cs="Arial" w:eastAsia="Arial" w:hAnsi="Arial"/>
          <w:i/>
          <w:iCs/>
          <w:sz w:val="18"/>
          <w:szCs w:val="18"/>
        </w:rPr>
        <w:t xml:space="preserve">Nota. </w:t>
      </w:r>
      <w:r>
        <w:rPr>
          <w:rFonts w:ascii="Arial" w:cs="Arial" w:eastAsia="Arial" w:hAnsi="Arial"/>
          <w:sz w:val="18"/>
          <w:szCs w:val="18"/>
        </w:rPr>
        <w:t xml:space="preserve">Elaboración propia.</w:t>
      </w:r>
    </w:p>
    <w:p>
      <w:pPr>
        <w:pStyle w:val="Heading3"/>
        <w:spacing w:after="100" w:before="180"/>
      </w:pPr>
      <w:r>
        <w:rPr>
          <w:rFonts w:ascii="Arial" w:cs="Arial" w:eastAsia="Arial" w:hAnsi="Arial"/>
          <w:b/>
          <w:bCs/>
          <w:sz w:val="22"/>
          <w:szCs w:val="22"/>
        </w:rPr>
        <w:t xml:space="preserve">e) Pantallas del prototipo</w:t>
      </w:r>
    </w:p>
    <w:p>
      <w:pPr>
        <w:keepNext/>
        <w:spacing w:after="0" w:before="160"/>
      </w:pPr>
      <w:r>
        <w:rPr>
          <w:rFonts w:ascii="Arial" w:cs="Arial" w:eastAsia="Arial" w:hAnsi="Arial"/>
          <w:b/>
          <w:bCs/>
          <w:sz w:val="20"/>
          <w:szCs w:val="20"/>
        </w:rPr>
        <w:t xml:space="preserve">Tabla 20</w:t>
      </w:r>
    </w:p>
    <w:p>
      <w:pPr>
        <w:keepNext/>
        <w:spacing w:after="80"/>
      </w:pPr>
      <w:r>
        <w:rPr>
          <w:rFonts w:ascii="Arial" w:cs="Arial" w:eastAsia="Arial" w:hAnsi="Arial"/>
          <w:i/>
          <w:iCs/>
          <w:sz w:val="20"/>
          <w:szCs w:val="20"/>
        </w:rPr>
        <w:t xml:space="preserve">Vistas implementadas en el prototipo</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2352"/>
        <w:gridCol w:w="2351"/>
      </w:tblGrid>
      <w:tr>
        <w:trPr>
          <w:tblHeader/>
        </w:trPr>
        <w:tc>
          <w:tcPr>
            <w:tcW w:type="dxa" w:w="4703"/>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Vista</w:t>
            </w:r>
          </w:p>
        </w:tc>
        <w:tc>
          <w:tcPr>
            <w:tcW w:type="dxa" w:w="2352"/>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Rol</w:t>
            </w:r>
          </w:p>
        </w:tc>
        <w:tc>
          <w:tcPr>
            <w:tcW w:type="dxa" w:w="2351"/>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Proceso asociado</w:t>
            </w:r>
          </w:p>
        </w:tc>
      </w:tr>
      <w:tr>
        <w:trPr>
          <w:cantSplit/>
        </w:trPr>
        <w:tc>
          <w:tcPr>
            <w:tcW w:type="dxa" w:w="470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Inicio y búsqueda con filtros</w:t>
            </w:r>
          </w:p>
        </w:tc>
        <w:tc>
          <w:tcPr>
            <w:tcW w:type="dxa" w:w="2352"/>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Público</w:t>
            </w:r>
          </w:p>
        </w:tc>
        <w:tc>
          <w:tcPr>
            <w:tcW w:type="dxa" w:w="235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P4.1</w:t>
            </w:r>
          </w:p>
        </w:tc>
      </w:tr>
      <w:tr>
        <w:trPr>
          <w:cantSplit/>
        </w:trPr>
        <w:tc>
          <w:tcPr>
            <w:tcW w:type="dxa" w:w="470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Detalle del espacio con calendario</w:t>
            </w:r>
          </w:p>
        </w:tc>
        <w:tc>
          <w:tcPr>
            <w:tcW w:type="dxa" w:w="2352"/>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Público / arrendatario</w:t>
            </w:r>
          </w:p>
        </w:tc>
        <w:tc>
          <w:tcPr>
            <w:tcW w:type="dxa" w:w="235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P4.2–P4.4</w:t>
            </w:r>
          </w:p>
        </w:tc>
      </w:tr>
      <w:tr>
        <w:trPr>
          <w:cantSplit/>
        </w:trPr>
        <w:tc>
          <w:tcPr>
            <w:tcW w:type="dxa" w:w="470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Registro e inicio de sesión</w:t>
            </w:r>
          </w:p>
        </w:tc>
        <w:tc>
          <w:tcPr>
            <w:tcW w:type="dxa" w:w="2352"/>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Público</w:t>
            </w:r>
          </w:p>
        </w:tc>
        <w:tc>
          <w:tcPr>
            <w:tcW w:type="dxa" w:w="235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P1</w:t>
            </w:r>
          </w:p>
        </w:tc>
      </w:tr>
      <w:tr>
        <w:trPr>
          <w:cantSplit/>
        </w:trPr>
        <w:tc>
          <w:tcPr>
            <w:tcW w:type="dxa" w:w="470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Verificación de identidad (cámara y documentos)</w:t>
            </w:r>
          </w:p>
        </w:tc>
        <w:tc>
          <w:tcPr>
            <w:tcW w:type="dxa" w:w="2352"/>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Arrendatario / propietario</w:t>
            </w:r>
          </w:p>
        </w:tc>
        <w:tc>
          <w:tcPr>
            <w:tcW w:type="dxa" w:w="235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P2</w:t>
            </w:r>
          </w:p>
        </w:tc>
      </w:tr>
      <w:tr>
        <w:trPr>
          <w:cantSplit/>
        </w:trPr>
        <w:tc>
          <w:tcPr>
            <w:tcW w:type="dxa" w:w="470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Publicar espacio (wizard de 3 pasos)</w:t>
            </w:r>
          </w:p>
        </w:tc>
        <w:tc>
          <w:tcPr>
            <w:tcW w:type="dxa" w:w="2352"/>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Propietario</w:t>
            </w:r>
          </w:p>
        </w:tc>
        <w:tc>
          <w:tcPr>
            <w:tcW w:type="dxa" w:w="235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P3</w:t>
            </w:r>
          </w:p>
        </w:tc>
      </w:tr>
      <w:tr>
        <w:trPr>
          <w:cantSplit/>
        </w:trPr>
        <w:tc>
          <w:tcPr>
            <w:tcW w:type="dxa" w:w="470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Checkout, firma de contrato y pago</w:t>
            </w:r>
          </w:p>
        </w:tc>
        <w:tc>
          <w:tcPr>
            <w:tcW w:type="dxa" w:w="2352"/>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Arrendatario</w:t>
            </w:r>
          </w:p>
        </w:tc>
        <w:tc>
          <w:tcPr>
            <w:tcW w:type="dxa" w:w="235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P5–P6</w:t>
            </w:r>
          </w:p>
        </w:tc>
      </w:tr>
      <w:tr>
        <w:trPr>
          <w:cantSplit/>
        </w:trPr>
        <w:tc>
          <w:tcPr>
            <w:tcW w:type="dxa" w:w="470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Billetera de tarjetas</w:t>
            </w:r>
          </w:p>
        </w:tc>
        <w:tc>
          <w:tcPr>
            <w:tcW w:type="dxa" w:w="2352"/>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Arrendatario</w:t>
            </w:r>
          </w:p>
        </w:tc>
        <w:tc>
          <w:tcPr>
            <w:tcW w:type="dxa" w:w="235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P6.1</w:t>
            </w:r>
          </w:p>
        </w:tc>
      </w:tr>
      <w:tr>
        <w:trPr>
          <w:cantSplit/>
        </w:trPr>
        <w:tc>
          <w:tcPr>
            <w:tcW w:type="dxa" w:w="470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Mis reservas, valoraciones y disputas</w:t>
            </w:r>
          </w:p>
        </w:tc>
        <w:tc>
          <w:tcPr>
            <w:tcW w:type="dxa" w:w="2352"/>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Arrendatario</w:t>
            </w:r>
          </w:p>
        </w:tc>
        <w:tc>
          <w:tcPr>
            <w:tcW w:type="dxa" w:w="235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P8</w:t>
            </w:r>
          </w:p>
        </w:tc>
      </w:tr>
      <w:tr>
        <w:trPr>
          <w:cantSplit/>
        </w:trPr>
        <w:tc>
          <w:tcPr>
            <w:tcW w:type="dxa" w:w="470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Panel del propietario e ingresos</w:t>
            </w:r>
          </w:p>
        </w:tc>
        <w:tc>
          <w:tcPr>
            <w:tcW w:type="dxa" w:w="2352"/>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Propietario</w:t>
            </w:r>
          </w:p>
        </w:tc>
        <w:tc>
          <w:tcPr>
            <w:tcW w:type="dxa" w:w="235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P7</w:t>
            </w:r>
          </w:p>
        </w:tc>
      </w:tr>
      <w:tr>
        <w:trPr>
          <w:cantSplit/>
        </w:trPr>
        <w:tc>
          <w:tcPr>
            <w:tcW w:type="dxa" w:w="470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Pantalla de progreso y resultado del pago</w:t>
            </w:r>
          </w:p>
        </w:tc>
        <w:tc>
          <w:tcPr>
            <w:tcW w:type="dxa" w:w="2352"/>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Arrendatario</w:t>
            </w:r>
          </w:p>
        </w:tc>
        <w:tc>
          <w:tcPr>
            <w:tcW w:type="dxa" w:w="235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P6.3</w:t>
            </w:r>
          </w:p>
        </w:tc>
      </w:tr>
      <w:tr>
        <w:trPr>
          <w:cantSplit/>
        </w:trPr>
        <w:tc>
          <w:tcPr>
            <w:tcW w:type="dxa" w:w="470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Historial de canceladas (arrendatario y propietario)</w:t>
            </w:r>
          </w:p>
        </w:tc>
        <w:tc>
          <w:tcPr>
            <w:tcW w:type="dxa" w:w="2352"/>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Arrendatario / propietario</w:t>
            </w:r>
          </w:p>
        </w:tc>
        <w:tc>
          <w:tcPr>
            <w:tcW w:type="dxa" w:w="235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P7.4, P8.5</w:t>
            </w:r>
          </w:p>
        </w:tc>
      </w:tr>
      <w:tr>
        <w:trPr>
          <w:cantSplit/>
        </w:trPr>
        <w:tc>
          <w:tcPr>
            <w:tcW w:type="dxa" w:w="470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Paneles con vista por día, semana o mes</w:t>
            </w:r>
          </w:p>
        </w:tc>
        <w:tc>
          <w:tcPr>
            <w:tcW w:type="dxa" w:w="2352"/>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Propietario / administrador</w:t>
            </w:r>
          </w:p>
        </w:tc>
        <w:tc>
          <w:tcPr>
            <w:tcW w:type="dxa" w:w="235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P7.5, P9.3</w:t>
            </w:r>
          </w:p>
        </w:tc>
      </w:tr>
      <w:tr>
        <w:trPr>
          <w:cantSplit/>
        </w:trPr>
        <w:tc>
          <w:tcPr>
            <w:tcW w:type="dxa" w:w="470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Panel de administración (KPI, KYC, moderación, auditoría)</w:t>
            </w:r>
          </w:p>
        </w:tc>
        <w:tc>
          <w:tcPr>
            <w:tcW w:type="dxa" w:w="2352"/>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Administrador</w:t>
            </w:r>
          </w:p>
        </w:tc>
        <w:tc>
          <w:tcPr>
            <w:tcW w:type="dxa" w:w="235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P9</w:t>
            </w:r>
          </w:p>
        </w:tc>
      </w:tr>
    </w:tbl>
    <w:p>
      <w:pPr>
        <w:spacing w:after="140" w:line="260"/>
        <w:jc w:val="both"/>
      </w:pPr>
      <w:r>
        <w:rPr>
          <w:rFonts w:ascii="Arial" w:cs="Arial" w:eastAsia="Arial" w:hAnsi="Arial"/>
          <w:sz w:val="22"/>
          <w:szCs w:val="22"/>
        </w:rPr>
        <w:t xml:space="preserve">Las capturas de pantalla de las vistas principales se presentan en el Anexo A; el Manual de usuario, entregado junto a este informe, describe cada una paso a paso.</w:t>
      </w:r>
    </w:p>
    <w:p>
      <w:pPr>
        <w:pStyle w:val="Heading2"/>
        <w:spacing w:after="120" w:before="220"/>
      </w:pPr>
      <w:r>
        <w:rPr>
          <w:rFonts w:ascii="Arial" w:cs="Arial" w:eastAsia="Arial" w:hAnsi="Arial"/>
          <w:b/>
          <w:bCs/>
          <w:color w:val="1F3864"/>
          <w:sz w:val="24"/>
          <w:szCs w:val="24"/>
        </w:rPr>
        <w:t xml:space="preserve">5. Criterios de aceptación, estándares normativos y buenas prácticas</w:t>
      </w:r>
    </w:p>
    <w:p>
      <w:pPr>
        <w:pStyle w:val="Heading3"/>
        <w:spacing w:after="100" w:before="180"/>
      </w:pPr>
      <w:r>
        <w:rPr>
          <w:rFonts w:ascii="Arial" w:cs="Arial" w:eastAsia="Arial" w:hAnsi="Arial"/>
          <w:b/>
          <w:bCs/>
          <w:sz w:val="22"/>
          <w:szCs w:val="22"/>
        </w:rPr>
        <w:t xml:space="preserve">a) Criterios de aceptación</w:t>
      </w:r>
    </w:p>
    <w:p>
      <w:pPr>
        <w:spacing w:after="140" w:line="260"/>
        <w:jc w:val="both"/>
      </w:pPr>
      <w:r>
        <w:rPr>
          <w:rFonts w:ascii="Arial" w:cs="Arial" w:eastAsia="Arial" w:hAnsi="Arial"/>
          <w:sz w:val="22"/>
          <w:szCs w:val="22"/>
        </w:rPr>
        <w:t xml:space="preserve">Cada criterio se redacta en formato verificable (dado / cuando / entonces) e indica cómo se comprueba. Un requisito se considera aceptado solo si su verificación resulta exitosa en el ambiente desplegado.</w:t>
      </w:r>
    </w:p>
    <w:p>
      <w:pPr>
        <w:keepNext/>
        <w:spacing w:after="0" w:before="160"/>
      </w:pPr>
      <w:r>
        <w:rPr>
          <w:rFonts w:ascii="Arial" w:cs="Arial" w:eastAsia="Arial" w:hAnsi="Arial"/>
          <w:b/>
          <w:bCs/>
          <w:sz w:val="20"/>
          <w:szCs w:val="20"/>
        </w:rPr>
        <w:t xml:space="preserve">Tabla 21</w:t>
      </w:r>
    </w:p>
    <w:p>
      <w:pPr>
        <w:keepNext/>
        <w:spacing w:after="80"/>
      </w:pPr>
      <w:r>
        <w:rPr>
          <w:rFonts w:ascii="Arial" w:cs="Arial" w:eastAsia="Arial" w:hAnsi="Arial"/>
          <w:i/>
          <w:iCs/>
          <w:sz w:val="20"/>
          <w:szCs w:val="20"/>
        </w:rPr>
        <w:t xml:space="preserve">Criterios de aceptación del prototipo</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847"/>
        <w:gridCol w:w="5926"/>
        <w:gridCol w:w="2633"/>
      </w:tblGrid>
      <w:tr>
        <w:trPr>
          <w:tblHeader/>
        </w:trPr>
        <w:tc>
          <w:tcPr>
            <w:tcW w:type="dxa" w:w="847"/>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ID</w:t>
            </w:r>
          </w:p>
        </w:tc>
        <w:tc>
          <w:tcPr>
            <w:tcW w:type="dxa" w:w="5926"/>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Criterio</w:t>
            </w:r>
          </w:p>
        </w:tc>
        <w:tc>
          <w:tcPr>
            <w:tcW w:type="dxa" w:w="2633"/>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Verificación</w:t>
            </w:r>
          </w:p>
        </w:tc>
      </w:tr>
      <w:tr>
        <w:trPr>
          <w:cantSplit/>
        </w:trPr>
        <w:tc>
          <w:tcPr>
            <w:tcW w:type="dxa" w:w="847"/>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CA-01</w:t>
            </w:r>
          </w:p>
        </w:tc>
        <w:tc>
          <w:tcPr>
            <w:tcW w:type="dxa" w:w="5926"/>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Dado un usuario menor de 18 años, cuando intenta registrarse, entonces el sistema rechaza el registro.</w:t>
            </w:r>
          </w:p>
        </w:tc>
        <w:tc>
          <w:tcPr>
            <w:tcW w:type="dxa" w:w="263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Prueba unitaria (ageValidation) + prueba manual</w:t>
            </w:r>
          </w:p>
        </w:tc>
      </w:tr>
      <w:tr>
        <w:trPr>
          <w:cantSplit/>
        </w:trPr>
        <w:tc>
          <w:tcPr>
            <w:tcW w:type="dxa" w:w="847"/>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CA-02</w:t>
            </w:r>
          </w:p>
        </w:tc>
        <w:tc>
          <w:tcPr>
            <w:tcW w:type="dxa" w:w="5926"/>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Dados 5 intentos fallidos con el mismo correo e IP en 15 min, cuando se intenta un sexto, entonces el acceso se bloquea temporalmente.</w:t>
            </w:r>
          </w:p>
        </w:tc>
        <w:tc>
          <w:tcPr>
            <w:tcW w:type="dxa" w:w="263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Prueba manual contra /api/auth</w:t>
            </w:r>
          </w:p>
        </w:tc>
      </w:tr>
      <w:tr>
        <w:trPr>
          <w:cantSplit/>
        </w:trPr>
        <w:tc>
          <w:tcPr>
            <w:tcW w:type="dxa" w:w="847"/>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CA-03</w:t>
            </w:r>
          </w:p>
        </w:tc>
        <w:tc>
          <w:tcPr>
            <w:tcW w:type="dxa" w:w="5926"/>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Dado un usuario sin KYC aprobado, cuando intenta reservar o publicar, entonces el sistema lo impide y lo dirige a verificación.</w:t>
            </w:r>
          </w:p>
        </w:tc>
        <w:tc>
          <w:tcPr>
            <w:tcW w:type="dxa" w:w="263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Prueba manual por rol</w:t>
            </w:r>
          </w:p>
        </w:tc>
      </w:tr>
      <w:tr>
        <w:trPr>
          <w:cantSplit/>
        </w:trPr>
        <w:tc>
          <w:tcPr>
            <w:tcW w:type="dxa" w:w="847"/>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CA-04</w:t>
            </w:r>
          </w:p>
        </w:tc>
        <w:tc>
          <w:tcPr>
            <w:tcW w:type="dxa" w:w="5926"/>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Dado un espacio recién publicado, entonces no aparece en búsquedas hasta que un administrador lo aprueba.</w:t>
            </w:r>
          </w:p>
        </w:tc>
        <w:tc>
          <w:tcPr>
            <w:tcW w:type="dxa" w:w="263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Prueba manual</w:t>
            </w:r>
          </w:p>
        </w:tc>
      </w:tr>
      <w:tr>
        <w:trPr>
          <w:cantSplit/>
        </w:trPr>
        <w:tc>
          <w:tcPr>
            <w:tcW w:type="dxa" w:w="847"/>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CA-05</w:t>
            </w:r>
          </w:p>
        </w:tc>
        <w:tc>
          <w:tcPr>
            <w:tcW w:type="dxa" w:w="5926"/>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Dadas dos reservas que se solapan para el mismo espacio, cuando se confirma la segunda, entonces la base de datos la rechaza.</w:t>
            </w:r>
          </w:p>
        </w:tc>
        <w:tc>
          <w:tcPr>
            <w:tcW w:type="dxa" w:w="263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Prueba de concurrencia (dos sesiones)</w:t>
            </w:r>
          </w:p>
        </w:tc>
      </w:tr>
      <w:tr>
        <w:trPr>
          <w:cantSplit/>
        </w:trPr>
        <w:tc>
          <w:tcPr>
            <w:tcW w:type="dxa" w:w="847"/>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CA-06</w:t>
            </w:r>
          </w:p>
        </w:tc>
        <w:tc>
          <w:tcPr>
            <w:tcW w:type="dxa" w:w="5926"/>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Dado un monto alterado desde el navegador, cuando se crea la reserva, entonces el trigger lo rechaza o lo recalcula.</w:t>
            </w:r>
          </w:p>
        </w:tc>
        <w:tc>
          <w:tcPr>
            <w:tcW w:type="dxa" w:w="263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Prueba manual con herramientas de desarrollo + pruebas de pricing</w:t>
            </w:r>
          </w:p>
        </w:tc>
      </w:tr>
      <w:tr>
        <w:trPr>
          <w:cantSplit/>
        </w:trPr>
        <w:tc>
          <w:tcPr>
            <w:tcW w:type="dxa" w:w="847"/>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CA-07</w:t>
            </w:r>
          </w:p>
        </w:tc>
        <w:tc>
          <w:tcPr>
            <w:tcW w:type="dxa" w:w="5926"/>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Dada una reserva sin pago, cuando pasan 20 minutos, entonces se libera el espacio.</w:t>
            </w:r>
          </w:p>
        </w:tc>
        <w:tc>
          <w:tcPr>
            <w:tcW w:type="dxa" w:w="263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Verificación de pg_cron</w:t>
            </w:r>
          </w:p>
        </w:tc>
      </w:tr>
      <w:tr>
        <w:trPr>
          <w:cantSplit/>
        </w:trPr>
        <w:tc>
          <w:tcPr>
            <w:tcW w:type="dxa" w:w="847"/>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CA-08</w:t>
            </w:r>
          </w:p>
        </w:tc>
        <w:tc>
          <w:tcPr>
            <w:tcW w:type="dxa" w:w="5926"/>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Dado un contrato firmado, cuando se modifica un carácter del contenido, entonces la verificación SHA-256 falla.</w:t>
            </w:r>
          </w:p>
        </w:tc>
        <w:tc>
          <w:tcPr>
            <w:tcW w:type="dxa" w:w="263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Prueba unitaria (contractHash) + visor del contrato</w:t>
            </w:r>
          </w:p>
        </w:tc>
      </w:tr>
      <w:tr>
        <w:trPr>
          <w:cantSplit/>
        </w:trPr>
        <w:tc>
          <w:tcPr>
            <w:tcW w:type="dxa" w:w="847"/>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CA-09</w:t>
            </w:r>
          </w:p>
        </w:tc>
        <w:tc>
          <w:tcPr>
            <w:tcW w:type="dxa" w:w="5926"/>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Dado un pago autorizado por Transbank, entonces la reserva pasa a confirmada; si es rechazado, no.</w:t>
            </w:r>
          </w:p>
        </w:tc>
        <w:tc>
          <w:tcPr>
            <w:tcW w:type="dxa" w:w="263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Prueba en ambiente de integración</w:t>
            </w:r>
          </w:p>
        </w:tc>
      </w:tr>
      <w:tr>
        <w:trPr>
          <w:cantSplit/>
        </w:trPr>
        <w:tc>
          <w:tcPr>
            <w:tcW w:type="dxa" w:w="847"/>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CA-10</w:t>
            </w:r>
          </w:p>
        </w:tc>
        <w:tc>
          <w:tcPr>
            <w:tcW w:type="dxa" w:w="5926"/>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Dada una cancelación, entonces el reembolso coincide con la política vigente según la antelación.</w:t>
            </w:r>
          </w:p>
        </w:tc>
        <w:tc>
          <w:tcPr>
            <w:tcW w:type="dxa" w:w="263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Pruebas unitarias (refundPolicy) + compute_refund</w:t>
            </w:r>
          </w:p>
        </w:tc>
      </w:tr>
      <w:tr>
        <w:trPr>
          <w:cantSplit/>
        </w:trPr>
        <w:tc>
          <w:tcPr>
            <w:tcW w:type="dxa" w:w="847"/>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CA-11</w:t>
            </w:r>
          </w:p>
        </w:tc>
        <w:tc>
          <w:tcPr>
            <w:tcW w:type="dxa" w:w="5926"/>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El identificador de tarjeta de Oneclick (tbk_user) nunca se envía al navegador.</w:t>
            </w:r>
          </w:p>
        </w:tc>
        <w:tc>
          <w:tcPr>
            <w:tcW w:type="dxa" w:w="263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Inspección de red + prueba del API de billetera</w:t>
            </w:r>
          </w:p>
        </w:tc>
      </w:tr>
      <w:tr>
        <w:trPr>
          <w:cantSplit/>
        </w:trPr>
        <w:tc>
          <w:tcPr>
            <w:tcW w:type="dxa" w:w="847"/>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CA-12</w:t>
            </w:r>
          </w:p>
        </w:tc>
        <w:tc>
          <w:tcPr>
            <w:tcW w:type="dxa" w:w="5926"/>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Un usuario no puede leer el RUT ni la dirección privada de otro propietario.</w:t>
            </w:r>
          </w:p>
        </w:tc>
        <w:tc>
          <w:tcPr>
            <w:tcW w:type="dxa" w:w="263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Consultas con JWT de otro usuario (RLS)</w:t>
            </w:r>
          </w:p>
        </w:tc>
      </w:tr>
      <w:tr>
        <w:trPr>
          <w:cantSplit/>
        </w:trPr>
        <w:tc>
          <w:tcPr>
            <w:tcW w:type="dxa" w:w="847"/>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CA-13</w:t>
            </w:r>
          </w:p>
        </w:tc>
        <w:tc>
          <w:tcPr>
            <w:tcW w:type="dxa" w:w="5926"/>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Solo el rol administrador accede al panel de KPI, KYC y auditoría.</w:t>
            </w:r>
          </w:p>
        </w:tc>
        <w:tc>
          <w:tcPr>
            <w:tcW w:type="dxa" w:w="263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Prueba manual por rol + políticas RLS</w:t>
            </w:r>
          </w:p>
        </w:tc>
      </w:tr>
      <w:tr>
        <w:trPr>
          <w:cantSplit/>
        </w:trPr>
        <w:tc>
          <w:tcPr>
            <w:tcW w:type="dxa" w:w="847"/>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CA-14</w:t>
            </w:r>
          </w:p>
        </w:tc>
        <w:tc>
          <w:tcPr>
            <w:tcW w:type="dxa" w:w="5926"/>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La página de inicio alcanza LCP ≤ 2,5 s y puntaje Lighthouse de rendimiento ≥ 85 en móvil.</w:t>
            </w:r>
          </w:p>
        </w:tc>
        <w:tc>
          <w:tcPr>
            <w:tcW w:type="dxa" w:w="263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Lighthouse / PageSpeed Insights</w:t>
            </w:r>
          </w:p>
        </w:tc>
      </w:tr>
      <w:tr>
        <w:trPr>
          <w:cantSplit/>
        </w:trPr>
        <w:tc>
          <w:tcPr>
            <w:tcW w:type="dxa" w:w="847"/>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CA-15</w:t>
            </w:r>
          </w:p>
        </w:tc>
        <w:tc>
          <w:tcPr>
            <w:tcW w:type="dxa" w:w="5926"/>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Las vistas principales cumplen contraste y navegación por teclado (WCAG 2.1 AA).</w:t>
            </w:r>
          </w:p>
        </w:tc>
        <w:tc>
          <w:tcPr>
            <w:tcW w:type="dxa" w:w="263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Lighthouse accesibilidad ≥ 90 + revisión manual</w:t>
            </w:r>
          </w:p>
        </w:tc>
      </w:tr>
      <w:tr>
        <w:trPr>
          <w:cantSplit/>
        </w:trPr>
        <w:tc>
          <w:tcPr>
            <w:tcW w:type="dxa" w:w="847"/>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CA-16</w:t>
            </w:r>
          </w:p>
        </w:tc>
        <w:tc>
          <w:tcPr>
            <w:tcW w:type="dxa" w:w="5926"/>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El pipeline de CI termina sin errores y la cobertura de utilidades críticas es ≥ 60 %.</w:t>
            </w:r>
          </w:p>
        </w:tc>
        <w:tc>
          <w:tcPr>
            <w:tcW w:type="dxa" w:w="263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GitHub Actions + reporte de Vitest</w:t>
            </w:r>
          </w:p>
        </w:tc>
      </w:tr>
      <w:tr>
        <w:trPr>
          <w:cantSplit/>
        </w:trPr>
        <w:tc>
          <w:tcPr>
            <w:tcW w:type="dxa" w:w="847"/>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CA-17</w:t>
            </w:r>
          </w:p>
        </w:tc>
        <w:tc>
          <w:tcPr>
            <w:tcW w:type="dxa" w:w="5926"/>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Dado un pago en curso, entonces el usuario ve el avance (verificar, registrar contrato, pagar) y al terminar un resultado de éxito, lista de espera o rechazo.</w:t>
            </w:r>
          </w:p>
        </w:tc>
        <w:tc>
          <w:tcPr>
            <w:tcW w:type="dxa" w:w="263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Prueba manual + prueba en navegador automatizada (Playwright)</w:t>
            </w:r>
          </w:p>
        </w:tc>
      </w:tr>
      <w:tr>
        <w:trPr>
          <w:cantSplit/>
        </w:trPr>
        <w:tc>
          <w:tcPr>
            <w:tcW w:type="dxa" w:w="847"/>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CA-18</w:t>
            </w:r>
          </w:p>
        </w:tc>
        <w:tc>
          <w:tcPr>
            <w:tcW w:type="dxa" w:w="5926"/>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Dada una reserva confirmada, cuando el propietario la cancela, entonces se reembolsa el 100 % y el horario queda libre.</w:t>
            </w:r>
          </w:p>
        </w:tc>
        <w:tc>
          <w:tcPr>
            <w:tcW w:type="dxa" w:w="263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Prueba unitaria (refundPolicy) + compute_refund</w:t>
            </w:r>
          </w:p>
        </w:tc>
      </w:tr>
      <w:tr>
        <w:trPr>
          <w:cantSplit/>
        </w:trPr>
        <w:tc>
          <w:tcPr>
            <w:tcW w:type="dxa" w:w="847"/>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CA-19</w:t>
            </w:r>
          </w:p>
        </w:tc>
        <w:tc>
          <w:tcPr>
            <w:tcW w:type="dxa" w:w="5926"/>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Dada una reserva anulada por pago rechazado, entonces no aparece en el historial de canceladas; las canceladas por el arrendatario y por el propietario aparecen separadas.</w:t>
            </w:r>
          </w:p>
        </w:tc>
        <w:tc>
          <w:tcPr>
            <w:tcW w:type="dxa" w:w="263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Prueba unitaria (cancellations) + prueba manual</w:t>
            </w:r>
          </w:p>
        </w:tc>
      </w:tr>
      <w:tr>
        <w:trPr>
          <w:cantSplit/>
        </w:trPr>
        <w:tc>
          <w:tcPr>
            <w:tcW w:type="dxa" w:w="847"/>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CA-20</w:t>
            </w:r>
          </w:p>
        </w:tc>
        <w:tc>
          <w:tcPr>
            <w:tcW w:type="dxa" w:w="5926"/>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Dado un espacio sin reserva inmediata, cuando se paga una reserva, entonces queda en lista de espera hasta que el propietario la acepta.</w:t>
            </w:r>
          </w:p>
        </w:tc>
        <w:tc>
          <w:tcPr>
            <w:tcW w:type="dxa" w:w="263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Prueba manual</w:t>
            </w:r>
          </w:p>
        </w:tc>
      </w:tr>
    </w:tbl>
    <w:p>
      <w:pPr>
        <w:pStyle w:val="Heading3"/>
        <w:spacing w:after="100" w:before="180"/>
      </w:pPr>
      <w:r>
        <w:rPr>
          <w:rFonts w:ascii="Arial" w:cs="Arial" w:eastAsia="Arial" w:hAnsi="Arial"/>
          <w:b/>
          <w:bCs/>
          <w:sz w:val="22"/>
          <w:szCs w:val="22"/>
        </w:rPr>
        <w:t xml:space="preserve">b) Estándares normativos</w:t>
      </w:r>
    </w:p>
    <w:p>
      <w:pPr>
        <w:keepNext/>
        <w:spacing w:after="0" w:before="160"/>
      </w:pPr>
      <w:r>
        <w:rPr>
          <w:rFonts w:ascii="Arial" w:cs="Arial" w:eastAsia="Arial" w:hAnsi="Arial"/>
          <w:b/>
          <w:bCs/>
          <w:sz w:val="20"/>
          <w:szCs w:val="20"/>
        </w:rPr>
        <w:t xml:space="preserve">Tabla 22</w:t>
      </w:r>
    </w:p>
    <w:p>
      <w:pPr>
        <w:keepNext/>
        <w:spacing w:after="80"/>
      </w:pPr>
      <w:r>
        <w:rPr>
          <w:rFonts w:ascii="Arial" w:cs="Arial" w:eastAsia="Arial" w:hAnsi="Arial"/>
          <w:i/>
          <w:iCs/>
          <w:sz w:val="20"/>
          <w:szCs w:val="20"/>
        </w:rPr>
        <w:t xml:space="preserve">Normativa y estándares aplicables a Spotly</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3198"/>
        <w:gridCol w:w="1694"/>
      </w:tblGrid>
      <w:tr>
        <w:trPr>
          <w:tblHeader/>
        </w:trPr>
        <w:tc>
          <w:tcPr>
            <w:tcW w:type="dxa" w:w="2257"/>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Norma / estándar</w:t>
            </w:r>
          </w:p>
        </w:tc>
        <w:tc>
          <w:tcPr>
            <w:tcW w:type="dxa" w:w="2257"/>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Exigencia relevante</w:t>
            </w:r>
          </w:p>
        </w:tc>
        <w:tc>
          <w:tcPr>
            <w:tcW w:type="dxa" w:w="3198"/>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Aplicación en Spotly</w:t>
            </w:r>
          </w:p>
        </w:tc>
        <w:tc>
          <w:tcPr>
            <w:tcW w:type="dxa" w:w="1694"/>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Estado</w:t>
            </w:r>
          </w:p>
        </w:tc>
      </w:tr>
      <w:tr>
        <w:trPr>
          <w:cantSplit/>
        </w:trPr>
        <w:tc>
          <w:tcPr>
            <w:tcW w:type="dxa" w:w="2257"/>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Ley 19.628 sobre protección de la vida privada</w:t>
            </w:r>
          </w:p>
        </w:tc>
        <w:tc>
          <w:tcPr>
            <w:tcW w:type="dxa" w:w="2257"/>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Tratamiento lícito de datos personales con consentimiento</w:t>
            </w:r>
          </w:p>
        </w:tc>
        <w:tc>
          <w:tcPr>
            <w:tcW w:type="dxa" w:w="3198"/>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Registro de consentimientos (user_consents); datos privados protegidos por RLS</w:t>
            </w:r>
          </w:p>
        </w:tc>
        <w:tc>
          <w:tcPr>
            <w:tcW w:type="dxa" w:w="1694"/>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Implementado</w:t>
            </w:r>
          </w:p>
        </w:tc>
      </w:tr>
      <w:tr>
        <w:trPr>
          <w:cantSplit/>
        </w:trPr>
        <w:tc>
          <w:tcPr>
            <w:tcW w:type="dxa" w:w="2257"/>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Ley 21.719 (protección de datos personales; vigente desde el 1 de diciembre de 2026)</w:t>
            </w:r>
          </w:p>
        </w:tc>
        <w:tc>
          <w:tcPr>
            <w:tcW w:type="dxa" w:w="2257"/>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Derechos ARCO y portabilidad; datos sensibles (biométricos); seguridad; notificación de brechas</w:t>
            </w:r>
          </w:p>
        </w:tc>
        <w:tc>
          <w:tcPr>
            <w:tcW w:type="dxa" w:w="3198"/>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Anonimización de usuarios; buckets privados para biometría; auditoría; revisión manual del KYC</w:t>
            </w:r>
          </w:p>
        </w:tc>
        <w:tc>
          <w:tcPr>
            <w:tcW w:type="dxa" w:w="1694"/>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Implementado parcialmente; faltan plazos de retención</w:t>
            </w:r>
          </w:p>
        </w:tc>
      </w:tr>
      <w:tr>
        <w:trPr>
          <w:cantSplit/>
        </w:trPr>
        <w:tc>
          <w:tcPr>
            <w:tcW w:type="dxa" w:w="2257"/>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Ley 19.799 sobre documentos y firma electrónica</w:t>
            </w:r>
          </w:p>
        </w:tc>
        <w:tc>
          <w:tcPr>
            <w:tcW w:type="dxa" w:w="2257"/>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Validez de la firma electrónica simple</w:t>
            </w:r>
          </w:p>
        </w:tc>
        <w:tc>
          <w:tcPr>
            <w:tcW w:type="dxa" w:w="3198"/>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Firma en SignatureCanvas + huella SHA-256 verificable</w:t>
            </w:r>
          </w:p>
        </w:tc>
        <w:tc>
          <w:tcPr>
            <w:tcW w:type="dxa" w:w="1694"/>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Implementado</w:t>
            </w:r>
          </w:p>
        </w:tc>
      </w:tr>
      <w:tr>
        <w:trPr>
          <w:cantSplit/>
        </w:trPr>
        <w:tc>
          <w:tcPr>
            <w:tcW w:type="dxa" w:w="2257"/>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Ley 18.101 de arrendamiento de predios urbanos</w:t>
            </w:r>
          </w:p>
        </w:tc>
        <w:tc>
          <w:tcPr>
            <w:tcW w:type="dxa" w:w="2257"/>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Contenido mínimo del contrato de arriendo</w:t>
            </w:r>
          </w:p>
        </w:tc>
        <w:tc>
          <w:tcPr>
            <w:tcW w:type="dxa" w:w="3198"/>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Plantilla de contrato con partes, objeto, plazo y precio</w:t>
            </w:r>
          </w:p>
        </w:tc>
        <w:tc>
          <w:tcPr>
            <w:tcW w:type="dxa" w:w="1694"/>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Implementado</w:t>
            </w:r>
          </w:p>
        </w:tc>
      </w:tr>
      <w:tr>
        <w:trPr>
          <w:cantSplit/>
        </w:trPr>
        <w:tc>
          <w:tcPr>
            <w:tcW w:type="dxa" w:w="2257"/>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Ley 19.496 de protección de los derechos de los consumidores</w:t>
            </w:r>
          </w:p>
        </w:tc>
        <w:tc>
          <w:tcPr>
            <w:tcW w:type="dxa" w:w="2257"/>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Información clara de precios, términos y derecho a reclamo</w:t>
            </w:r>
          </w:p>
        </w:tc>
        <w:tc>
          <w:tcPr>
            <w:tcW w:type="dxa" w:w="3198"/>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Desglose de precio antes de pagar; términos y condiciones; soporte y disputas</w:t>
            </w:r>
          </w:p>
        </w:tc>
        <w:tc>
          <w:tcPr>
            <w:tcW w:type="dxa" w:w="1694"/>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Implementado; faltan datos legales de la empresa</w:t>
            </w:r>
          </w:p>
        </w:tc>
      </w:tr>
      <w:tr>
        <w:trPr>
          <w:cantSplit/>
        </w:trPr>
        <w:tc>
          <w:tcPr>
            <w:tcW w:type="dxa" w:w="2257"/>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Reglamento de comercio electrónico (Decreto 6 de 2021, Ministerio de Economía)</w:t>
            </w:r>
          </w:p>
        </w:tc>
        <w:tc>
          <w:tcPr>
            <w:tcW w:type="dxa" w:w="2257"/>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Identificación del proveedor y confirmación de la transacción</w:t>
            </w:r>
          </w:p>
        </w:tc>
        <w:tc>
          <w:tcPr>
            <w:tcW w:type="dxa" w:w="3198"/>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Comprobante de reserva y pago</w:t>
            </w:r>
          </w:p>
        </w:tc>
        <w:tc>
          <w:tcPr>
            <w:tcW w:type="dxa" w:w="1694"/>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Parcial: datos del proveedor pendientes</w:t>
            </w:r>
          </w:p>
        </w:tc>
      </w:tr>
      <w:tr>
        <w:trPr>
          <w:cantSplit/>
        </w:trPr>
        <w:tc>
          <w:tcPr>
            <w:tcW w:type="dxa" w:w="2257"/>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PCI DSS v4.0</w:t>
            </w:r>
          </w:p>
        </w:tc>
        <w:tc>
          <w:tcPr>
            <w:tcW w:type="dxa" w:w="2257"/>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Protección de datos de tarjetas</w:t>
            </w:r>
          </w:p>
        </w:tc>
        <w:tc>
          <w:tcPr>
            <w:tcW w:type="dxa" w:w="3198"/>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Tokenización vía Transbank: Spotly no almacena ni procesa números de tarjeta</w:t>
            </w:r>
          </w:p>
        </w:tc>
        <w:tc>
          <w:tcPr>
            <w:tcW w:type="dxa" w:w="1694"/>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Alcance reducido</w:t>
            </w:r>
          </w:p>
        </w:tc>
      </w:tr>
      <w:tr>
        <w:trPr>
          <w:cantSplit/>
        </w:trPr>
        <w:tc>
          <w:tcPr>
            <w:tcW w:type="dxa" w:w="2257"/>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OWASP Top 10 (2021)</w:t>
            </w:r>
          </w:p>
        </w:tc>
        <w:tc>
          <w:tcPr>
            <w:tcW w:type="dxa" w:w="2257"/>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Mitigar riesgos web más comunes</w:t>
            </w:r>
          </w:p>
        </w:tc>
        <w:tc>
          <w:tcPr>
            <w:tcW w:type="dxa" w:w="3198"/>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Ver apartado e)</w:t>
            </w:r>
          </w:p>
        </w:tc>
        <w:tc>
          <w:tcPr>
            <w:tcW w:type="dxa" w:w="1694"/>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Implementado</w:t>
            </w:r>
          </w:p>
        </w:tc>
      </w:tr>
      <w:tr>
        <w:trPr>
          <w:cantSplit/>
        </w:trPr>
        <w:tc>
          <w:tcPr>
            <w:tcW w:type="dxa" w:w="2257"/>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ISO/IEC 27001:2022</w:t>
            </w:r>
          </w:p>
        </w:tc>
        <w:tc>
          <w:tcPr>
            <w:tcW w:type="dxa" w:w="2257"/>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Sistema de gestión de seguridad de la información</w:t>
            </w:r>
          </w:p>
        </w:tc>
        <w:tc>
          <w:tcPr>
            <w:tcW w:type="dxa" w:w="3198"/>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Controles de acceso, registro, respaldo y gestión de secretos alineados al anexo A</w:t>
            </w:r>
          </w:p>
        </w:tc>
        <w:tc>
          <w:tcPr>
            <w:tcW w:type="dxa" w:w="1694"/>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Referencia</w:t>
            </w:r>
          </w:p>
        </w:tc>
      </w:tr>
      <w:tr>
        <w:trPr>
          <w:cantSplit/>
        </w:trPr>
        <w:tc>
          <w:tcPr>
            <w:tcW w:type="dxa" w:w="2257"/>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ISO/IEC 25010</w:t>
            </w:r>
          </w:p>
        </w:tc>
        <w:tc>
          <w:tcPr>
            <w:tcW w:type="dxa" w:w="2257"/>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Modelo de calidad del producto de software</w:t>
            </w:r>
          </w:p>
        </w:tc>
        <w:tc>
          <w:tcPr>
            <w:tcW w:type="dxa" w:w="3198"/>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Criterios CA-01 a CA-20 cubren adecuación funcional, seguridad, rendimiento y usabilidad</w:t>
            </w:r>
          </w:p>
        </w:tc>
        <w:tc>
          <w:tcPr>
            <w:tcW w:type="dxa" w:w="1694"/>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Referencia</w:t>
            </w:r>
          </w:p>
        </w:tc>
      </w:tr>
      <w:tr>
        <w:trPr>
          <w:cantSplit/>
        </w:trPr>
        <w:tc>
          <w:tcPr>
            <w:tcW w:type="dxa" w:w="2257"/>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WCAG 2.1 nivel AA</w:t>
            </w:r>
          </w:p>
        </w:tc>
        <w:tc>
          <w:tcPr>
            <w:tcW w:type="dxa" w:w="2257"/>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Accesibilidad web</w:t>
            </w:r>
          </w:p>
        </w:tc>
        <w:tc>
          <w:tcPr>
            <w:tcW w:type="dxa" w:w="3198"/>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Contraste, textos alternativos, foco visible, navegación por teclado</w:t>
            </w:r>
          </w:p>
        </w:tc>
        <w:tc>
          <w:tcPr>
            <w:tcW w:type="dxa" w:w="1694"/>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En verificación</w:t>
            </w:r>
          </w:p>
        </w:tc>
      </w:tr>
      <w:tr>
        <w:trPr>
          <w:cantSplit/>
        </w:trPr>
        <w:tc>
          <w:tcPr>
            <w:tcW w:type="dxa" w:w="2257"/>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IEEE 830</w:t>
            </w:r>
          </w:p>
        </w:tc>
        <w:tc>
          <w:tcPr>
            <w:tcW w:type="dxa" w:w="2257"/>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Especificación de requisitos</w:t>
            </w:r>
          </w:p>
        </w:tc>
        <w:tc>
          <w:tcPr>
            <w:tcW w:type="dxa" w:w="3198"/>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Formato de los requisitos del Informe de Análisis</w:t>
            </w:r>
          </w:p>
        </w:tc>
        <w:tc>
          <w:tcPr>
            <w:tcW w:type="dxa" w:w="1694"/>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Aplicado en Unidad 1</w:t>
            </w:r>
          </w:p>
        </w:tc>
      </w:tr>
    </w:tbl>
    <w:p>
      <w:pPr>
        <w:pStyle w:val="Heading3"/>
        <w:spacing w:after="100" w:before="180"/>
      </w:pPr>
      <w:r>
        <w:rPr>
          <w:rFonts w:ascii="Arial" w:cs="Arial" w:eastAsia="Arial" w:hAnsi="Arial"/>
          <w:b/>
          <w:bCs/>
          <w:sz w:val="22"/>
          <w:szCs w:val="22"/>
        </w:rPr>
        <w:t xml:space="preserve">c) Buenas prácticas de desarrollo</w:t>
      </w:r>
    </w:p>
    <w:p>
      <w:pPr>
        <w:pStyle w:val="ListParagraph"/>
        <w:numPr>
          <w:ilvl w:val="0"/>
          <w:numId w:val="3"/>
        </w:numPr>
        <w:spacing w:after="60" w:line="260"/>
        <w:jc w:val="both"/>
      </w:pPr>
      <w:r>
        <w:rPr>
          <w:rFonts w:ascii="Arial" w:cs="Arial" w:eastAsia="Arial" w:hAnsi="Arial"/>
          <w:b/>
          <w:bCs/>
          <w:sz w:val="22"/>
          <w:szCs w:val="22"/>
        </w:rPr>
        <w:t xml:space="preserve">Control de versiones:</w:t>
      </w:r>
      <w:r>
        <w:rPr>
          <w:rFonts w:ascii="Arial" w:cs="Arial" w:eastAsia="Arial" w:hAnsi="Arial"/>
          <w:sz w:val="22"/>
          <w:szCs w:val="22"/>
        </w:rPr>
        <w:t xml:space="preserve"> rama principal protegida, commits descriptivos y despliegue solo desde código que pasa el pipeline.</w:t>
      </w:r>
    </w:p>
    <w:p>
      <w:pPr>
        <w:pStyle w:val="ListParagraph"/>
        <w:numPr>
          <w:ilvl w:val="0"/>
          <w:numId w:val="3"/>
        </w:numPr>
        <w:spacing w:after="60" w:line="260"/>
        <w:jc w:val="both"/>
      </w:pPr>
      <w:r>
        <w:rPr>
          <w:rFonts w:ascii="Arial" w:cs="Arial" w:eastAsia="Arial" w:hAnsi="Arial"/>
          <w:b/>
          <w:bCs/>
          <w:sz w:val="22"/>
          <w:szCs w:val="22"/>
        </w:rPr>
        <w:t xml:space="preserve">Integración continua:</w:t>
      </w:r>
      <w:r>
        <w:rPr>
          <w:rFonts w:ascii="Arial" w:cs="Arial" w:eastAsia="Arial" w:hAnsi="Arial"/>
          <w:sz w:val="22"/>
          <w:szCs w:val="22"/>
        </w:rPr>
        <w:t xml:space="preserve"> GitHub Actions ejecuta verificación de tipos (tsc), pruebas (Vitest) y build en cada cambio.</w:t>
      </w:r>
    </w:p>
    <w:p>
      <w:pPr>
        <w:pStyle w:val="ListParagraph"/>
        <w:numPr>
          <w:ilvl w:val="0"/>
          <w:numId w:val="3"/>
        </w:numPr>
        <w:spacing w:after="60" w:line="260"/>
        <w:jc w:val="both"/>
      </w:pPr>
      <w:r>
        <w:rPr>
          <w:rFonts w:ascii="Arial" w:cs="Arial" w:eastAsia="Arial" w:hAnsi="Arial"/>
          <w:b/>
          <w:bCs/>
          <w:sz w:val="22"/>
          <w:szCs w:val="22"/>
        </w:rPr>
        <w:t xml:space="preserve">Pruebas automatizadas:</w:t>
      </w:r>
      <w:r>
        <w:rPr>
          <w:rFonts w:ascii="Arial" w:cs="Arial" w:eastAsia="Arial" w:hAnsi="Arial"/>
          <w:sz w:val="22"/>
          <w:szCs w:val="22"/>
        </w:rPr>
        <w:t xml:space="preserve"> 61 pruebas en 8 archivos que cubren precios, política de reembolso, huella de contratos, disponibilidad horaria, reportes, historial de cancelaciones, contacto con el arrendatario y la API de billetera con mocks; umbral de cobertura del 60 % en utilidades críticas. Las vistas se revisan además en un navegador automatizado (Playwright) en escritorio y móvil.</w:t>
      </w:r>
    </w:p>
    <w:p>
      <w:pPr>
        <w:pStyle w:val="ListParagraph"/>
        <w:numPr>
          <w:ilvl w:val="0"/>
          <w:numId w:val="3"/>
        </w:numPr>
        <w:spacing w:after="60" w:line="260"/>
        <w:jc w:val="both"/>
      </w:pPr>
      <w:r>
        <w:rPr>
          <w:rFonts w:ascii="Arial" w:cs="Arial" w:eastAsia="Arial" w:hAnsi="Arial"/>
          <w:b/>
          <w:bCs/>
          <w:sz w:val="22"/>
          <w:szCs w:val="22"/>
        </w:rPr>
        <w:t xml:space="preserve">Fuente única de verdad para reglas de negocio:</w:t>
      </w:r>
      <w:r>
        <w:rPr>
          <w:rFonts w:ascii="Arial" w:cs="Arial" w:eastAsia="Arial" w:hAnsi="Arial"/>
          <w:sz w:val="22"/>
          <w:szCs w:val="22"/>
        </w:rPr>
        <w:t xml:space="preserve"> las funciones SQL (expected_reservation_amounts, compute_refund) replican exactamente pricing.ts y refundPolicy.ts, y las pruebas fijan su comportamiento.</w:t>
      </w:r>
    </w:p>
    <w:p>
      <w:pPr>
        <w:pStyle w:val="ListParagraph"/>
        <w:numPr>
          <w:ilvl w:val="0"/>
          <w:numId w:val="3"/>
        </w:numPr>
        <w:spacing w:after="60" w:line="260"/>
        <w:jc w:val="both"/>
      </w:pPr>
      <w:r>
        <w:rPr>
          <w:rFonts w:ascii="Arial" w:cs="Arial" w:eastAsia="Arial" w:hAnsi="Arial"/>
          <w:b/>
          <w:bCs/>
          <w:sz w:val="22"/>
          <w:szCs w:val="22"/>
        </w:rPr>
        <w:t xml:space="preserve">Base de datos como código:</w:t>
      </w:r>
      <w:r>
        <w:rPr>
          <w:rFonts w:ascii="Arial" w:cs="Arial" w:eastAsia="Arial" w:hAnsi="Arial"/>
          <w:sz w:val="22"/>
          <w:szCs w:val="22"/>
        </w:rPr>
        <w:t xml:space="preserve"> un único script SQL transaccional e idempotente crea tablas, políticas, triggers y tareas programadas.</w:t>
      </w:r>
    </w:p>
    <w:p>
      <w:pPr>
        <w:pStyle w:val="ListParagraph"/>
        <w:numPr>
          <w:ilvl w:val="0"/>
          <w:numId w:val="3"/>
        </w:numPr>
        <w:spacing w:after="60" w:line="260"/>
        <w:jc w:val="both"/>
      </w:pPr>
      <w:r>
        <w:rPr>
          <w:rFonts w:ascii="Arial" w:cs="Arial" w:eastAsia="Arial" w:hAnsi="Arial"/>
          <w:b/>
          <w:bCs/>
          <w:sz w:val="22"/>
          <w:szCs w:val="22"/>
        </w:rPr>
        <w:t xml:space="preserve">Documentación de la API:</w:t>
      </w:r>
      <w:r>
        <w:rPr>
          <w:rFonts w:ascii="Arial" w:cs="Arial" w:eastAsia="Arial" w:hAnsi="Arial"/>
          <w:sz w:val="22"/>
          <w:szCs w:val="22"/>
        </w:rPr>
        <w:t xml:space="preserve"> especificación OpenAPI versionada junto al código.</w:t>
      </w:r>
    </w:p>
    <w:p>
      <w:pPr>
        <w:pStyle w:val="ListParagraph"/>
        <w:numPr>
          <w:ilvl w:val="0"/>
          <w:numId w:val="3"/>
        </w:numPr>
        <w:spacing w:after="60" w:line="260"/>
        <w:jc w:val="both"/>
      </w:pPr>
      <w:r>
        <w:rPr>
          <w:rFonts w:ascii="Arial" w:cs="Arial" w:eastAsia="Arial" w:hAnsi="Arial"/>
          <w:b/>
          <w:bCs/>
          <w:sz w:val="22"/>
          <w:szCs w:val="22"/>
        </w:rPr>
        <w:t xml:space="preserve">Configuración por entorno:</w:t>
      </w:r>
      <w:r>
        <w:rPr>
          <w:rFonts w:ascii="Arial" w:cs="Arial" w:eastAsia="Arial" w:hAnsi="Arial"/>
          <w:sz w:val="22"/>
          <w:szCs w:val="22"/>
        </w:rPr>
        <w:t xml:space="preserve"> credenciales y ambiente de Transbank definidos por variables de entorno, nunca en el código.</w:t>
      </w:r>
    </w:p>
    <w:p>
      <w:pPr>
        <w:pStyle w:val="Heading3"/>
        <w:spacing w:after="100" w:before="180"/>
      </w:pPr>
      <w:r>
        <w:rPr>
          <w:rFonts w:ascii="Arial" w:cs="Arial" w:eastAsia="Arial" w:hAnsi="Arial"/>
          <w:b/>
          <w:bCs/>
          <w:sz w:val="22"/>
          <w:szCs w:val="22"/>
        </w:rPr>
        <w:t xml:space="preserve">d) Rendimiento</w:t>
      </w:r>
    </w:p>
    <w:p>
      <w:pPr>
        <w:keepNext/>
        <w:spacing w:after="0" w:before="160"/>
      </w:pPr>
      <w:r>
        <w:rPr>
          <w:rFonts w:ascii="Arial" w:cs="Arial" w:eastAsia="Arial" w:hAnsi="Arial"/>
          <w:b/>
          <w:bCs/>
          <w:sz w:val="20"/>
          <w:szCs w:val="20"/>
        </w:rPr>
        <w:t xml:space="preserve">Tabla 23</w:t>
      </w:r>
    </w:p>
    <w:p>
      <w:pPr>
        <w:keepNext/>
        <w:spacing w:after="80"/>
      </w:pPr>
      <w:r>
        <w:rPr>
          <w:rFonts w:ascii="Arial" w:cs="Arial" w:eastAsia="Arial" w:hAnsi="Arial"/>
          <w:i/>
          <w:iCs/>
          <w:sz w:val="20"/>
          <w:szCs w:val="20"/>
        </w:rPr>
        <w:t xml:space="preserve">Metas de rendimiento y método de verificación</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446"/>
        <w:gridCol w:w="1693"/>
        <w:gridCol w:w="3198"/>
        <w:gridCol w:w="2069"/>
      </w:tblGrid>
      <w:tr>
        <w:trPr>
          <w:tblHeader/>
        </w:trPr>
        <w:tc>
          <w:tcPr>
            <w:tcW w:type="dxa" w:w="2446"/>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Indicador</w:t>
            </w:r>
          </w:p>
        </w:tc>
        <w:tc>
          <w:tcPr>
            <w:tcW w:type="dxa" w:w="1693"/>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Meta</w:t>
            </w:r>
          </w:p>
        </w:tc>
        <w:tc>
          <w:tcPr>
            <w:tcW w:type="dxa" w:w="3198"/>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Técnica aplicada</w:t>
            </w:r>
          </w:p>
        </w:tc>
        <w:tc>
          <w:tcPr>
            <w:tcW w:type="dxa" w:w="2069"/>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Verificación</w:t>
            </w:r>
          </w:p>
        </w:tc>
      </w:tr>
      <w:tr>
        <w:trPr>
          <w:cantSplit/>
        </w:trPr>
        <w:tc>
          <w:tcPr>
            <w:tcW w:type="dxa" w:w="2446"/>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Largest Contentful Paint (LCP)</w:t>
            </w:r>
          </w:p>
        </w:tc>
        <w:tc>
          <w:tcPr>
            <w:tcW w:type="dxa" w:w="169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 2,5 s (móvil 4G)</w:t>
            </w:r>
          </w:p>
        </w:tc>
        <w:tc>
          <w:tcPr>
            <w:tcW w:type="dxa" w:w="3198"/>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Carga diferida de páginas; activos en CDN con caché inmutable</w:t>
            </w:r>
          </w:p>
        </w:tc>
        <w:tc>
          <w:tcPr>
            <w:tcW w:type="dxa" w:w="2069"/>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Lighthouse</w:t>
            </w:r>
          </w:p>
        </w:tc>
      </w:tr>
      <w:tr>
        <w:trPr>
          <w:cantSplit/>
        </w:trPr>
        <w:tc>
          <w:tcPr>
            <w:tcW w:type="dxa" w:w="2446"/>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Interaction to Next Paint (INP)</w:t>
            </w:r>
          </w:p>
        </w:tc>
        <w:tc>
          <w:tcPr>
            <w:tcW w:type="dxa" w:w="169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 200 ms</w:t>
            </w:r>
          </w:p>
        </w:tc>
        <w:tc>
          <w:tcPr>
            <w:tcW w:type="dxa" w:w="3198"/>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Componentes livianos; animaciones de Motion y Anime.js solo sobre transform y opacity</w:t>
            </w:r>
          </w:p>
        </w:tc>
        <w:tc>
          <w:tcPr>
            <w:tcW w:type="dxa" w:w="2069"/>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Lighthouse / Chrome DevTools</w:t>
            </w:r>
          </w:p>
        </w:tc>
      </w:tr>
      <w:tr>
        <w:trPr>
          <w:cantSplit/>
        </w:trPr>
        <w:tc>
          <w:tcPr>
            <w:tcW w:type="dxa" w:w="2446"/>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Cumulative Layout Shift (CLS)</w:t>
            </w:r>
          </w:p>
        </w:tc>
        <w:tc>
          <w:tcPr>
            <w:tcW w:type="dxa" w:w="169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 0,1</w:t>
            </w:r>
          </w:p>
        </w:tc>
        <w:tc>
          <w:tcPr>
            <w:tcW w:type="dxa" w:w="3198"/>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Dimensiones reservadas para imágenes</w:t>
            </w:r>
          </w:p>
        </w:tc>
        <w:tc>
          <w:tcPr>
            <w:tcW w:type="dxa" w:w="2069"/>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Lighthouse</w:t>
            </w:r>
          </w:p>
        </w:tc>
      </w:tr>
      <w:tr>
        <w:trPr>
          <w:cantSplit/>
        </w:trPr>
        <w:tc>
          <w:tcPr>
            <w:tcW w:type="dxa" w:w="2446"/>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Respuesta de consultas de búsqueda</w:t>
            </w:r>
          </w:p>
        </w:tc>
        <w:tc>
          <w:tcPr>
            <w:tcW w:type="dxa" w:w="169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 500 ms (p95)</w:t>
            </w:r>
          </w:p>
        </w:tc>
        <w:tc>
          <w:tcPr>
            <w:tcW w:type="dxa" w:w="3198"/>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Índices, pg_trgm, región sa-east-1, políticas RLS con (SELECT auth.uid())</w:t>
            </w:r>
          </w:p>
        </w:tc>
        <w:tc>
          <w:tcPr>
            <w:tcW w:type="dxa" w:w="2069"/>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Panel de Supabase (Query Performance)</w:t>
            </w:r>
          </w:p>
        </w:tc>
      </w:tr>
      <w:tr>
        <w:trPr>
          <w:cantSplit/>
        </w:trPr>
        <w:tc>
          <w:tcPr>
            <w:tcW w:type="dxa" w:w="2446"/>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Respuesta de funciones /api/*</w:t>
            </w:r>
          </w:p>
        </w:tc>
        <w:tc>
          <w:tcPr>
            <w:tcW w:type="dxa" w:w="1693"/>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 1 s sin contar a Transbank</w:t>
            </w:r>
          </w:p>
        </w:tc>
        <w:tc>
          <w:tcPr>
            <w:tcW w:type="dxa" w:w="3198"/>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Funciones pequeñas y sin estado</w:t>
            </w:r>
          </w:p>
        </w:tc>
        <w:tc>
          <w:tcPr>
            <w:tcW w:type="dxa" w:w="2069"/>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Registros de Vercel</w:t>
            </w:r>
          </w:p>
        </w:tc>
      </w:tr>
      <w:tr>
        <w:trPr>
          <w:cantSplit/>
        </w:trPr>
        <w:tc>
          <w:tcPr>
            <w:tcW w:type="dxa" w:w="2446"/>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Disponibilidad del servicio</w:t>
            </w:r>
          </w:p>
        </w:tc>
        <w:tc>
          <w:tcPr>
            <w:tcW w:type="dxa" w:w="1693"/>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 99,5 % mensual</w:t>
            </w:r>
          </w:p>
        </w:tc>
        <w:tc>
          <w:tcPr>
            <w:tcW w:type="dxa" w:w="3198"/>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Proveedores gestionados; health check diario</w:t>
            </w:r>
          </w:p>
        </w:tc>
        <w:tc>
          <w:tcPr>
            <w:tcW w:type="dxa" w:w="2069"/>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/api/health + monitoreo</w:t>
            </w:r>
          </w:p>
        </w:tc>
      </w:tr>
    </w:tbl>
    <w:p>
      <w:pPr>
        <w:spacing w:after="180" w:before="60"/>
      </w:pPr>
      <w:r>
        <w:rPr>
          <w:rFonts w:ascii="Arial" w:cs="Arial" w:eastAsia="Arial" w:hAnsi="Arial"/>
          <w:i/>
          <w:iCs/>
          <w:sz w:val="18"/>
          <w:szCs w:val="18"/>
        </w:rPr>
        <w:t xml:space="preserve">Nota. </w:t>
      </w:r>
      <w:r>
        <w:rPr>
          <w:rFonts w:ascii="Arial" w:cs="Arial" w:eastAsia="Arial" w:hAnsi="Arial"/>
          <w:sz w:val="18"/>
          <w:szCs w:val="18"/>
        </w:rPr>
        <w:t xml:space="preserve">Las metas se basan en los umbrales de Core Web Vitals definidos por Google. Los valores medidos deben registrarse sobre el despliegue final antes de la entrega.</w:t>
      </w:r>
    </w:p>
    <w:p>
      <w:pPr>
        <w:pStyle w:val="Heading3"/>
        <w:spacing w:after="100" w:before="180"/>
      </w:pPr>
      <w:r>
        <w:rPr>
          <w:rFonts w:ascii="Arial" w:cs="Arial" w:eastAsia="Arial" w:hAnsi="Arial"/>
          <w:b/>
          <w:bCs/>
          <w:sz w:val="22"/>
          <w:szCs w:val="22"/>
        </w:rPr>
        <w:t xml:space="preserve">e) Seguridad</w:t>
      </w:r>
    </w:p>
    <w:p>
      <w:pPr>
        <w:keepNext/>
        <w:spacing w:after="0" w:before="160"/>
      </w:pPr>
      <w:r>
        <w:rPr>
          <w:rFonts w:ascii="Arial" w:cs="Arial" w:eastAsia="Arial" w:hAnsi="Arial"/>
          <w:b/>
          <w:bCs/>
          <w:sz w:val="20"/>
          <w:szCs w:val="20"/>
        </w:rPr>
        <w:t xml:space="preserve">Tabla 24</w:t>
      </w:r>
    </w:p>
    <w:p>
      <w:pPr>
        <w:keepNext/>
        <w:spacing w:after="80"/>
      </w:pPr>
      <w:r>
        <w:rPr>
          <w:rFonts w:ascii="Arial" w:cs="Arial" w:eastAsia="Arial" w:hAnsi="Arial"/>
          <w:i/>
          <w:iCs/>
          <w:sz w:val="20"/>
          <w:szCs w:val="20"/>
        </w:rPr>
        <w:t xml:space="preserve">Controles de seguridad mapeados a OWASP Top 10 (2021)</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822"/>
        <w:gridCol w:w="6584"/>
      </w:tblGrid>
      <w:tr>
        <w:trPr>
          <w:tblHeader/>
        </w:trPr>
        <w:tc>
          <w:tcPr>
            <w:tcW w:type="dxa" w:w="2822"/>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Riesgo OWASP</w:t>
            </w:r>
          </w:p>
        </w:tc>
        <w:tc>
          <w:tcPr>
            <w:tcW w:type="dxa" w:w="6584"/>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Control implementado en Spotly</w:t>
            </w:r>
          </w:p>
        </w:tc>
      </w:tr>
      <w:tr>
        <w:trPr>
          <w:cantSplit/>
        </w:trPr>
        <w:tc>
          <w:tcPr>
            <w:tcW w:type="dxa" w:w="2822"/>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A01 Control de acceso roto</w:t>
            </w:r>
          </w:p>
        </w:tc>
        <w:tc>
          <w:tcPr>
            <w:tcW w:type="dxa" w:w="6584"/>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RLS en todas las tablas; grants por columna para datos privados; rutas protegidas por rol; funciones SECURITY DEFINER con search_path fijo</w:t>
            </w:r>
          </w:p>
        </w:tc>
      </w:tr>
      <w:tr>
        <w:trPr>
          <w:cantSplit/>
        </w:trPr>
        <w:tc>
          <w:tcPr>
            <w:tcW w:type="dxa" w:w="2822"/>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A02 Fallas criptográficas</w:t>
            </w:r>
          </w:p>
        </w:tc>
        <w:tc>
          <w:tcPr>
            <w:tcW w:type="dxa" w:w="6584"/>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TLS/HSTS en todo el tráfico; SHA-256 para contratos; URL firmadas de 1 h para documentos privados; Spotly no almacena tarjetas</w:t>
            </w:r>
          </w:p>
        </w:tc>
      </w:tr>
      <w:tr>
        <w:trPr>
          <w:cantSplit/>
        </w:trPr>
        <w:tc>
          <w:tcPr>
            <w:tcW w:type="dxa" w:w="2822"/>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A03 Inyección</w:t>
            </w:r>
          </w:p>
        </w:tc>
        <w:tc>
          <w:tcPr>
            <w:tcW w:type="dxa" w:w="6584"/>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Consultas parametrizadas a través de PostgREST y del cliente de Supabase; validación de entradas</w:t>
            </w:r>
          </w:p>
        </w:tc>
      </w:tr>
      <w:tr>
        <w:trPr>
          <w:cantSplit/>
        </w:trPr>
        <w:tc>
          <w:tcPr>
            <w:tcW w:type="dxa" w:w="2822"/>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A04 Diseño inseguro</w:t>
            </w:r>
          </w:p>
        </w:tc>
        <w:tc>
          <w:tcPr>
            <w:tcW w:type="dxa" w:w="6584"/>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Reglas de negocio replicadas en triggers (montos, solapamiento, reembolsos) que el cliente no puede eludir</w:t>
            </w:r>
          </w:p>
        </w:tc>
      </w:tr>
      <w:tr>
        <w:trPr>
          <w:cantSplit/>
        </w:trPr>
        <w:tc>
          <w:tcPr>
            <w:tcW w:type="dxa" w:w="2822"/>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A05 Configuración de seguridad incorrecta</w:t>
            </w:r>
          </w:p>
        </w:tc>
        <w:tc>
          <w:tcPr>
            <w:tcW w:type="dxa" w:w="6584"/>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Cabeceras de seguridad en vercel.json; separación de llaves anon y service_role; variables de entorno</w:t>
            </w:r>
          </w:p>
        </w:tc>
      </w:tr>
      <w:tr>
        <w:trPr>
          <w:cantSplit/>
        </w:trPr>
        <w:tc>
          <w:tcPr>
            <w:tcW w:type="dxa" w:w="2822"/>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A06 Componentes vulnerables</w:t>
            </w:r>
          </w:p>
        </w:tc>
        <w:tc>
          <w:tcPr>
            <w:tcW w:type="dxa" w:w="6584"/>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Dependencias actualizadas; alertas de Dependabot; versiones fijadas en package-lock</w:t>
            </w:r>
          </w:p>
        </w:tc>
      </w:tr>
      <w:tr>
        <w:trPr>
          <w:cantSplit/>
        </w:trPr>
        <w:tc>
          <w:tcPr>
            <w:tcW w:type="dxa" w:w="2822"/>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A07 Fallas de identificación y autenticación</w:t>
            </w:r>
          </w:p>
        </w:tc>
        <w:tc>
          <w:tcPr>
            <w:tcW w:type="dxa" w:w="6584"/>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Confirmación de correo; bloqueo por intentos fallidos (correo + IP); KYC manual</w:t>
            </w:r>
          </w:p>
        </w:tc>
      </w:tr>
      <w:tr>
        <w:trPr>
          <w:cantSplit/>
        </w:trPr>
        <w:tc>
          <w:tcPr>
            <w:tcW w:type="dxa" w:w="2822"/>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A08 Fallas de integridad de software y datos</w:t>
            </w:r>
          </w:p>
        </w:tc>
        <w:tc>
          <w:tcPr>
            <w:tcW w:type="dxa" w:w="6584"/>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Despliegue solo desde CI; huella de contratos; montos validados en servidor</w:t>
            </w:r>
          </w:p>
        </w:tc>
      </w:tr>
      <w:tr>
        <w:trPr>
          <w:cantSplit/>
        </w:trPr>
        <w:tc>
          <w:tcPr>
            <w:tcW w:type="dxa" w:w="2822"/>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A09 Fallas de registro y monitoreo</w:t>
            </w:r>
          </w:p>
        </w:tc>
        <w:tc>
          <w:tcPr>
            <w:tcW w:type="dxa" w:w="6584"/>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audit_logs de solo inserción; registros de funciones; KPI de administración</w:t>
            </w:r>
          </w:p>
        </w:tc>
      </w:tr>
      <w:tr>
        <w:trPr>
          <w:cantSplit/>
        </w:trPr>
        <w:tc>
          <w:tcPr>
            <w:tcW w:type="dxa" w:w="2822"/>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A10 Falsificación de solicitudes del lado servidor (SSRF)</w:t>
            </w:r>
          </w:p>
        </w:tc>
        <w:tc>
          <w:tcPr>
            <w:tcW w:type="dxa" w:w="6584"/>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Las funciones solo llaman a dominios fijos de Transbank y Supabase</w:t>
            </w:r>
          </w:p>
        </w:tc>
      </w:tr>
    </w:tbl>
    <w:p>
      <w:pPr>
        <w:pStyle w:val="Heading2"/>
        <w:spacing w:after="120" w:before="220"/>
      </w:pPr>
      <w:r>
        <w:rPr>
          <w:rFonts w:ascii="Arial" w:cs="Arial" w:eastAsia="Arial" w:hAnsi="Arial"/>
          <w:b/>
          <w:bCs/>
          <w:color w:val="1F3864"/>
          <w:sz w:val="24"/>
          <w:szCs w:val="24"/>
        </w:rPr>
        <w:t xml:space="preserve">6. Planificación del proyecto: carta Gantt</w:t>
      </w:r>
    </w:p>
    <w:p>
      <w:pPr>
        <w:pStyle w:val="Heading3"/>
        <w:spacing w:after="100" w:before="180"/>
      </w:pPr>
      <w:r>
        <w:rPr>
          <w:rFonts w:ascii="Arial" w:cs="Arial" w:eastAsia="Arial" w:hAnsi="Arial"/>
          <w:b/>
          <w:bCs/>
          <w:sz w:val="22"/>
          <w:szCs w:val="22"/>
        </w:rPr>
        <w:t xml:space="preserve">a) Carta Gantt</w:t>
      </w:r>
    </w:p>
    <w:p>
      <w:pPr>
        <w:spacing w:after="140" w:line="260"/>
        <w:jc w:val="both"/>
      </w:pPr>
      <w:r>
        <w:rPr>
          <w:rFonts w:ascii="Arial" w:cs="Arial" w:eastAsia="Arial" w:hAnsi="Arial"/>
          <w:sz w:val="22"/>
          <w:szCs w:val="22"/>
        </w:rPr>
        <w:t xml:space="preserve">La carta Gantt muestra las actividades del proyecto en semanas del semestre, comparando la línea base planificada al inicio de la Unidad 2 con la ejecución real. Las barras rayadas corresponden a lo planificado y las barras sólidas a lo ejecutado o ajustado; los rombos representan hitos de evaluación.</w:t>
      </w:r>
    </w:p>
    <w:p>
      <w:pPr>
        <w:keepNext/>
        <w:spacing w:after="0" w:before="160"/>
      </w:pPr>
      <w:r>
        <w:rPr>
          <w:rFonts w:ascii="Arial" w:cs="Arial" w:eastAsia="Arial" w:hAnsi="Arial"/>
          <w:b/>
          <w:bCs/>
          <w:sz w:val="20"/>
          <w:szCs w:val="20"/>
        </w:rPr>
        <w:t xml:space="preserve">Figura 6</w:t>
      </w:r>
    </w:p>
    <w:p>
      <w:pPr>
        <w:keepNext/>
        <w:spacing w:after="80"/>
      </w:pPr>
      <w:r>
        <w:rPr>
          <w:rFonts w:ascii="Arial" w:cs="Arial" w:eastAsia="Arial" w:hAnsi="Arial"/>
          <w:i/>
          <w:iCs/>
          <w:sz w:val="20"/>
          <w:szCs w:val="20"/>
        </w:rPr>
        <w:t xml:space="preserve">Carta Gantt del proyecto Spotly: línea base vs. ejecución real</w:t>
      </w:r>
    </w:p>
    <w:p>
      <w:pPr>
        <w:keepNext/>
        <w:jc w:val="center"/>
      </w:pPr>
      <w:r>
        <w:drawing>
          <wp:inline distT="0" distB="0" distL="0" distR="0">
            <wp:extent cx="5905500" cy="3543300"/>
            <wp:effectExtent t="0" r="0" b="0" l="0"/>
            <wp:docPr id="1" name="gantt.png" descr="Carta Gantt del proyecto Spotly: línea base vs. ejecución real" title="Carta Gantt del proyecto Spotly: línea base vs. ejecución r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543300"/>
                    </a:xfrm>
                    <a:prstGeom prst="rect">
                      <a:avLst/>
                    </a:prstGeom>
                  </pic:spPr>
                </pic:pic>
              </a:graphicData>
            </a:graphic>
          </wp:inline>
        </w:drawing>
      </w:r>
    </w:p>
    <w:p>
      <w:pPr>
        <w:spacing w:after="180" w:before="60"/>
      </w:pPr>
      <w:r>
        <w:rPr>
          <w:rFonts w:ascii="Arial" w:cs="Arial" w:eastAsia="Arial" w:hAnsi="Arial"/>
          <w:i/>
          <w:iCs/>
          <w:sz w:val="18"/>
          <w:szCs w:val="18"/>
        </w:rPr>
        <w:t xml:space="preserve">Nota. </w:t>
      </w:r>
      <w:r>
        <w:rPr>
          <w:rFonts w:ascii="Arial" w:cs="Arial" w:eastAsia="Arial" w:hAnsi="Arial"/>
          <w:sz w:val="18"/>
          <w:szCs w:val="18"/>
        </w:rPr>
        <w:t xml:space="preserve">Elaboración propia.</w:t>
      </w:r>
    </w:p>
    <w:p>
      <w:pPr>
        <w:pStyle w:val="Heading3"/>
        <w:spacing w:after="100" w:before="180"/>
      </w:pPr>
      <w:r>
        <w:rPr>
          <w:rFonts w:ascii="Arial" w:cs="Arial" w:eastAsia="Arial" w:hAnsi="Arial"/>
          <w:b/>
          <w:bCs/>
          <w:sz w:val="22"/>
          <w:szCs w:val="22"/>
        </w:rPr>
        <w:t xml:space="preserve">b) Detalle de actividades</w:t>
      </w:r>
    </w:p>
    <w:p>
      <w:pPr>
        <w:keepNext/>
        <w:spacing w:after="0" w:before="160"/>
      </w:pPr>
      <w:r>
        <w:rPr>
          <w:rFonts w:ascii="Arial" w:cs="Arial" w:eastAsia="Arial" w:hAnsi="Arial"/>
          <w:b/>
          <w:bCs/>
          <w:sz w:val="20"/>
          <w:szCs w:val="20"/>
        </w:rPr>
        <w:t xml:space="preserve">Tabla 25</w:t>
      </w:r>
    </w:p>
    <w:p>
      <w:pPr>
        <w:keepNext/>
        <w:spacing w:after="80"/>
      </w:pPr>
      <w:r>
        <w:rPr>
          <w:rFonts w:ascii="Arial" w:cs="Arial" w:eastAsia="Arial" w:hAnsi="Arial"/>
          <w:i/>
          <w:iCs/>
          <w:sz w:val="20"/>
          <w:szCs w:val="20"/>
        </w:rPr>
        <w:t xml:space="preserve">Actividades, responsables y semanas planificadas y reales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
        <w:gridCol w:w="3480"/>
        <w:gridCol w:w="1129"/>
        <w:gridCol w:w="1129"/>
        <w:gridCol w:w="1317"/>
        <w:gridCol w:w="1881"/>
      </w:tblGrid>
      <w:tr>
        <w:trPr>
          <w:tblHeader/>
        </w:trPr>
        <w:tc>
          <w:tcPr>
            <w:tcW w:type="dxa" w:w="47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N°</w:t>
            </w:r>
          </w:p>
        </w:tc>
        <w:tc>
          <w:tcPr>
            <w:tcW w:type="dxa" w:w="3480"/>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Actividad</w:t>
            </w:r>
          </w:p>
        </w:tc>
        <w:tc>
          <w:tcPr>
            <w:tcW w:type="dxa" w:w="1129"/>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Semanas plan</w:t>
            </w:r>
          </w:p>
        </w:tc>
        <w:tc>
          <w:tcPr>
            <w:tcW w:type="dxa" w:w="1129"/>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Semanas real</w:t>
            </w:r>
          </w:p>
        </w:tc>
        <w:tc>
          <w:tcPr>
            <w:tcW w:type="dxa" w:w="1317"/>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Desviación</w:t>
            </w:r>
          </w:p>
        </w:tc>
        <w:tc>
          <w:tcPr>
            <w:tcW w:type="dxa" w:w="1881"/>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Entregable</w:t>
            </w:r>
          </w:p>
        </w:tc>
      </w:tr>
      <w:tr>
        <w:trPr>
          <w:cantSplit/>
        </w:trPr>
        <w:tc>
          <w:tcPr>
            <w:tcW w:type="dxa" w:w="47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1</w:t>
            </w:r>
          </w:p>
        </w:tc>
        <w:tc>
          <w:tcPr>
            <w:tcW w:type="dxa" w:w="348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Levantamiento de requisitos y alcance</w:t>
            </w:r>
          </w:p>
        </w:tc>
        <w:tc>
          <w:tcPr>
            <w:tcW w:type="dxa" w:w="1129"/>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S1–S2</w:t>
            </w:r>
          </w:p>
        </w:tc>
        <w:tc>
          <w:tcPr>
            <w:tcW w:type="dxa" w:w="1129"/>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S1–S2</w:t>
            </w:r>
          </w:p>
        </w:tc>
        <w:tc>
          <w:tcPr>
            <w:tcW w:type="dxa" w:w="1317"/>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0</w:t>
            </w:r>
          </w:p>
        </w:tc>
        <w:tc>
          <w:tcPr>
            <w:tcW w:type="dxa" w:w="188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Requisitos</w:t>
            </w:r>
          </w:p>
        </w:tc>
      </w:tr>
      <w:tr>
        <w:trPr>
          <w:cantSplit/>
        </w:trPr>
        <w:tc>
          <w:tcPr>
            <w:tcW w:type="dxa" w:w="47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2</w:t>
            </w:r>
          </w:p>
        </w:tc>
        <w:tc>
          <w:tcPr>
            <w:tcW w:type="dxa" w:w="348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Informe de Análisis (Unidad 1)</w:t>
            </w:r>
          </w:p>
        </w:tc>
        <w:tc>
          <w:tcPr>
            <w:tcW w:type="dxa" w:w="1129"/>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S3–S6</w:t>
            </w:r>
          </w:p>
        </w:tc>
        <w:tc>
          <w:tcPr>
            <w:tcW w:type="dxa" w:w="1129"/>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S3–S6</w:t>
            </w:r>
          </w:p>
        </w:tc>
        <w:tc>
          <w:tcPr>
            <w:tcW w:type="dxa" w:w="1317"/>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w:t>
            </w:r>
          </w:p>
        </w:tc>
        <w:tc>
          <w:tcPr>
            <w:tcW w:type="dxa" w:w="188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Informe U1</w:t>
            </w:r>
          </w:p>
        </w:tc>
      </w:tr>
      <w:tr>
        <w:trPr>
          <w:cantSplit/>
        </w:trPr>
        <w:tc>
          <w:tcPr>
            <w:tcW w:type="dxa" w:w="47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3</w:t>
            </w:r>
          </w:p>
        </w:tc>
        <w:tc>
          <w:tcPr>
            <w:tcW w:type="dxa" w:w="348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Diagramas de topología, infraestructura y arquitectura</w:t>
            </w:r>
          </w:p>
        </w:tc>
        <w:tc>
          <w:tcPr>
            <w:tcW w:type="dxa" w:w="1129"/>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S7</w:t>
            </w:r>
          </w:p>
        </w:tc>
        <w:tc>
          <w:tcPr>
            <w:tcW w:type="dxa" w:w="1129"/>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S7–S8</w:t>
            </w:r>
          </w:p>
        </w:tc>
        <w:tc>
          <w:tcPr>
            <w:tcW w:type="dxa" w:w="1317"/>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+1</w:t>
            </w:r>
          </w:p>
        </w:tc>
        <w:tc>
          <w:tcPr>
            <w:tcW w:type="dxa" w:w="188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Diagramas</w:t>
            </w:r>
          </w:p>
        </w:tc>
      </w:tr>
      <w:tr>
        <w:trPr>
          <w:cantSplit/>
        </w:trPr>
        <w:tc>
          <w:tcPr>
            <w:tcW w:type="dxa" w:w="47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4</w:t>
            </w:r>
          </w:p>
        </w:tc>
        <w:tc>
          <w:tcPr>
            <w:tcW w:type="dxa" w:w="348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Evaluación de tecnologías y proveedores</w:t>
            </w:r>
          </w:p>
        </w:tc>
        <w:tc>
          <w:tcPr>
            <w:tcW w:type="dxa" w:w="1129"/>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S7–S8</w:t>
            </w:r>
          </w:p>
        </w:tc>
        <w:tc>
          <w:tcPr>
            <w:tcW w:type="dxa" w:w="1129"/>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S7–S8</w:t>
            </w:r>
          </w:p>
        </w:tc>
        <w:tc>
          <w:tcPr>
            <w:tcW w:type="dxa" w:w="1317"/>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w:t>
            </w:r>
          </w:p>
        </w:tc>
        <w:tc>
          <w:tcPr>
            <w:tcW w:type="dxa" w:w="188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Matrices</w:t>
            </w:r>
          </w:p>
        </w:tc>
      </w:tr>
      <w:tr>
        <w:trPr>
          <w:cantSplit/>
        </w:trPr>
        <w:tc>
          <w:tcPr>
            <w:tcW w:type="dxa" w:w="47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5</w:t>
            </w:r>
          </w:p>
        </w:tc>
        <w:tc>
          <w:tcPr>
            <w:tcW w:type="dxa" w:w="348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Modelo de datos, RLS y script SQL</w:t>
            </w:r>
          </w:p>
        </w:tc>
        <w:tc>
          <w:tcPr>
            <w:tcW w:type="dxa" w:w="1129"/>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S8</w:t>
            </w:r>
          </w:p>
        </w:tc>
        <w:tc>
          <w:tcPr>
            <w:tcW w:type="dxa" w:w="1129"/>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S8–S9</w:t>
            </w:r>
          </w:p>
        </w:tc>
        <w:tc>
          <w:tcPr>
            <w:tcW w:type="dxa" w:w="1317"/>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+1</w:t>
            </w:r>
          </w:p>
        </w:tc>
        <w:tc>
          <w:tcPr>
            <w:tcW w:type="dxa" w:w="188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reset-and-setup.sql</w:t>
            </w:r>
          </w:p>
        </w:tc>
      </w:tr>
      <w:tr>
        <w:trPr>
          <w:cantSplit/>
        </w:trPr>
        <w:tc>
          <w:tcPr>
            <w:tcW w:type="dxa" w:w="47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6</w:t>
            </w:r>
          </w:p>
        </w:tc>
        <w:tc>
          <w:tcPr>
            <w:tcW w:type="dxa" w:w="348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Sprint 1: cuentas, login con bloqueo, KYC</w:t>
            </w:r>
          </w:p>
        </w:tc>
        <w:tc>
          <w:tcPr>
            <w:tcW w:type="dxa" w:w="1129"/>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S8–S9</w:t>
            </w:r>
          </w:p>
        </w:tc>
        <w:tc>
          <w:tcPr>
            <w:tcW w:type="dxa" w:w="1129"/>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S8–S9</w:t>
            </w:r>
          </w:p>
        </w:tc>
        <w:tc>
          <w:tcPr>
            <w:tcW w:type="dxa" w:w="1317"/>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w:t>
            </w:r>
          </w:p>
        </w:tc>
        <w:tc>
          <w:tcPr>
            <w:tcW w:type="dxa" w:w="188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P1, P2</w:t>
            </w:r>
          </w:p>
        </w:tc>
      </w:tr>
      <w:tr>
        <w:trPr>
          <w:cantSplit/>
        </w:trPr>
        <w:tc>
          <w:tcPr>
            <w:tcW w:type="dxa" w:w="47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7</w:t>
            </w:r>
          </w:p>
        </w:tc>
        <w:tc>
          <w:tcPr>
            <w:tcW w:type="dxa" w:w="348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Sprint 2: catálogo, publicación y búsqueda</w:t>
            </w:r>
          </w:p>
        </w:tc>
        <w:tc>
          <w:tcPr>
            <w:tcW w:type="dxa" w:w="1129"/>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S9–S10</w:t>
            </w:r>
          </w:p>
        </w:tc>
        <w:tc>
          <w:tcPr>
            <w:tcW w:type="dxa" w:w="1129"/>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S9–S10</w:t>
            </w:r>
          </w:p>
        </w:tc>
        <w:tc>
          <w:tcPr>
            <w:tcW w:type="dxa" w:w="1317"/>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0</w:t>
            </w:r>
          </w:p>
        </w:tc>
        <w:tc>
          <w:tcPr>
            <w:tcW w:type="dxa" w:w="188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P3, P4.1</w:t>
            </w:r>
          </w:p>
        </w:tc>
      </w:tr>
      <w:tr>
        <w:trPr>
          <w:cantSplit/>
        </w:trPr>
        <w:tc>
          <w:tcPr>
            <w:tcW w:type="dxa" w:w="47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8</w:t>
            </w:r>
          </w:p>
        </w:tc>
        <w:tc>
          <w:tcPr>
            <w:tcW w:type="dxa" w:w="348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Migración localStorage → Supabase</w:t>
            </w:r>
          </w:p>
        </w:tc>
        <w:tc>
          <w:tcPr>
            <w:tcW w:type="dxa" w:w="1129"/>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w:t>
            </w:r>
          </w:p>
        </w:tc>
        <w:tc>
          <w:tcPr>
            <w:tcW w:type="dxa" w:w="1129"/>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S9–S10</w:t>
            </w:r>
          </w:p>
        </w:tc>
        <w:tc>
          <w:tcPr>
            <w:tcW w:type="dxa" w:w="1317"/>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No planificada</w:t>
            </w:r>
          </w:p>
        </w:tc>
        <w:tc>
          <w:tcPr>
            <w:tcW w:type="dxa" w:w="188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Persistencia real</w:t>
            </w:r>
          </w:p>
        </w:tc>
      </w:tr>
      <w:tr>
        <w:trPr>
          <w:cantSplit/>
        </w:trPr>
        <w:tc>
          <w:tcPr>
            <w:tcW w:type="dxa" w:w="47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9</w:t>
            </w:r>
          </w:p>
        </w:tc>
        <w:tc>
          <w:tcPr>
            <w:tcW w:type="dxa" w:w="348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Sprint 3: reservas, calendario, anti-sobreventa</w:t>
            </w:r>
          </w:p>
        </w:tc>
        <w:tc>
          <w:tcPr>
            <w:tcW w:type="dxa" w:w="1129"/>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S10</w:t>
            </w:r>
          </w:p>
        </w:tc>
        <w:tc>
          <w:tcPr>
            <w:tcW w:type="dxa" w:w="1129"/>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S10–S11</w:t>
            </w:r>
          </w:p>
        </w:tc>
        <w:tc>
          <w:tcPr>
            <w:tcW w:type="dxa" w:w="1317"/>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+1</w:t>
            </w:r>
          </w:p>
        </w:tc>
        <w:tc>
          <w:tcPr>
            <w:tcW w:type="dxa" w:w="188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P4</w:t>
            </w:r>
          </w:p>
        </w:tc>
      </w:tr>
      <w:tr>
        <w:trPr>
          <w:cantSplit/>
        </w:trPr>
        <w:tc>
          <w:tcPr>
            <w:tcW w:type="dxa" w:w="47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10</w:t>
            </w:r>
          </w:p>
        </w:tc>
        <w:tc>
          <w:tcPr>
            <w:tcW w:type="dxa" w:w="348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Sprint 4: contratos SHA-256 y Webpay Plus</w:t>
            </w:r>
          </w:p>
        </w:tc>
        <w:tc>
          <w:tcPr>
            <w:tcW w:type="dxa" w:w="1129"/>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S10–S11</w:t>
            </w:r>
          </w:p>
        </w:tc>
        <w:tc>
          <w:tcPr>
            <w:tcW w:type="dxa" w:w="1129"/>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S11</w:t>
            </w:r>
          </w:p>
        </w:tc>
        <w:tc>
          <w:tcPr>
            <w:tcW w:type="dxa" w:w="1317"/>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Compresión</w:t>
            </w:r>
          </w:p>
        </w:tc>
        <w:tc>
          <w:tcPr>
            <w:tcW w:type="dxa" w:w="188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P5, P6</w:t>
            </w:r>
          </w:p>
        </w:tc>
      </w:tr>
      <w:tr>
        <w:trPr>
          <w:cantSplit/>
        </w:trPr>
        <w:tc>
          <w:tcPr>
            <w:tcW w:type="dxa" w:w="47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11</w:t>
            </w:r>
          </w:p>
        </w:tc>
        <w:tc>
          <w:tcPr>
            <w:tcW w:type="dxa" w:w="348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Sprint 5: billetera Oneclick, disputas, admin/KPI</w:t>
            </w:r>
          </w:p>
        </w:tc>
        <w:tc>
          <w:tcPr>
            <w:tcW w:type="dxa" w:w="1129"/>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S11</w:t>
            </w:r>
          </w:p>
        </w:tc>
        <w:tc>
          <w:tcPr>
            <w:tcW w:type="dxa" w:w="1129"/>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S11–S12</w:t>
            </w:r>
          </w:p>
        </w:tc>
        <w:tc>
          <w:tcPr>
            <w:tcW w:type="dxa" w:w="1317"/>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+1</w:t>
            </w:r>
          </w:p>
        </w:tc>
        <w:tc>
          <w:tcPr>
            <w:tcW w:type="dxa" w:w="188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P6–P9</w:t>
            </w:r>
          </w:p>
        </w:tc>
      </w:tr>
      <w:tr>
        <w:trPr>
          <w:cantSplit/>
        </w:trPr>
        <w:tc>
          <w:tcPr>
            <w:tcW w:type="dxa" w:w="47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12</w:t>
            </w:r>
          </w:p>
        </w:tc>
        <w:tc>
          <w:tcPr>
            <w:tcW w:type="dxa" w:w="348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Pruebas Vitest + CI</w:t>
            </w:r>
          </w:p>
        </w:tc>
        <w:tc>
          <w:tcPr>
            <w:tcW w:type="dxa" w:w="1129"/>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S11–S12</w:t>
            </w:r>
          </w:p>
        </w:tc>
        <w:tc>
          <w:tcPr>
            <w:tcW w:type="dxa" w:w="1129"/>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S10–S13</w:t>
            </w:r>
          </w:p>
        </w:tc>
        <w:tc>
          <w:tcPr>
            <w:tcW w:type="dxa" w:w="1317"/>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Ampliada</w:t>
            </w:r>
          </w:p>
        </w:tc>
        <w:tc>
          <w:tcPr>
            <w:tcW w:type="dxa" w:w="188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Pipeline CI</w:t>
            </w:r>
          </w:p>
        </w:tc>
      </w:tr>
      <w:tr>
        <w:trPr>
          <w:cantSplit/>
        </w:trPr>
        <w:tc>
          <w:tcPr>
            <w:tcW w:type="dxa" w:w="47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13</w:t>
            </w:r>
          </w:p>
        </w:tc>
        <w:tc>
          <w:tcPr>
            <w:tcW w:type="dxa" w:w="348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Pruebas de aceptación y seguridad</w:t>
            </w:r>
          </w:p>
        </w:tc>
        <w:tc>
          <w:tcPr>
            <w:tcW w:type="dxa" w:w="1129"/>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S12–S13</w:t>
            </w:r>
          </w:p>
        </w:tc>
        <w:tc>
          <w:tcPr>
            <w:tcW w:type="dxa" w:w="1129"/>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S12–S13</w:t>
            </w:r>
          </w:p>
        </w:tc>
        <w:tc>
          <w:tcPr>
            <w:tcW w:type="dxa" w:w="1317"/>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0</w:t>
            </w:r>
          </w:p>
        </w:tc>
        <w:tc>
          <w:tcPr>
            <w:tcW w:type="dxa" w:w="188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CA-01 a CA-20</w:t>
            </w:r>
          </w:p>
        </w:tc>
      </w:tr>
      <w:tr>
        <w:trPr>
          <w:cantSplit/>
        </w:trPr>
        <w:tc>
          <w:tcPr>
            <w:tcW w:type="dxa" w:w="47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14</w:t>
            </w:r>
          </w:p>
        </w:tc>
        <w:tc>
          <w:tcPr>
            <w:tcW w:type="dxa" w:w="348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Hito: evaluación formativa EF2</w:t>
            </w:r>
          </w:p>
        </w:tc>
        <w:tc>
          <w:tcPr>
            <w:tcW w:type="dxa" w:w="1129"/>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S12</w:t>
            </w:r>
          </w:p>
        </w:tc>
        <w:tc>
          <w:tcPr>
            <w:tcW w:type="dxa" w:w="1129"/>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S12</w:t>
            </w:r>
          </w:p>
        </w:tc>
        <w:tc>
          <w:tcPr>
            <w:tcW w:type="dxa" w:w="1317"/>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w:t>
            </w:r>
          </w:p>
        </w:tc>
        <w:tc>
          <w:tcPr>
            <w:tcW w:type="dxa" w:w="188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Retroalimentación</w:t>
            </w:r>
          </w:p>
        </w:tc>
      </w:tr>
      <w:tr>
        <w:trPr>
          <w:cantSplit/>
        </w:trPr>
        <w:tc>
          <w:tcPr>
            <w:tcW w:type="dxa" w:w="47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15</w:t>
            </w:r>
          </w:p>
        </w:tc>
        <w:tc>
          <w:tcPr>
            <w:tcW w:type="dxa" w:w="348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Correcciones de retroalimentación</w:t>
            </w:r>
          </w:p>
        </w:tc>
        <w:tc>
          <w:tcPr>
            <w:tcW w:type="dxa" w:w="1129"/>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S13</w:t>
            </w:r>
          </w:p>
        </w:tc>
        <w:tc>
          <w:tcPr>
            <w:tcW w:type="dxa" w:w="1129"/>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S13</w:t>
            </w:r>
          </w:p>
        </w:tc>
        <w:tc>
          <w:tcPr>
            <w:tcW w:type="dxa" w:w="1317"/>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0</w:t>
            </w:r>
          </w:p>
        </w:tc>
        <w:tc>
          <w:tcPr>
            <w:tcW w:type="dxa" w:w="188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Versión corregida</w:t>
            </w:r>
          </w:p>
        </w:tc>
      </w:tr>
      <w:tr>
        <w:trPr>
          <w:cantSplit/>
        </w:trPr>
        <w:tc>
          <w:tcPr>
            <w:tcW w:type="dxa" w:w="47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16</w:t>
            </w:r>
          </w:p>
        </w:tc>
        <w:tc>
          <w:tcPr>
            <w:tcW w:type="dxa" w:w="348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Despliegue y documentación</w:t>
            </w:r>
          </w:p>
        </w:tc>
        <w:tc>
          <w:tcPr>
            <w:tcW w:type="dxa" w:w="1129"/>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S13–S14</w:t>
            </w:r>
          </w:p>
        </w:tc>
        <w:tc>
          <w:tcPr>
            <w:tcW w:type="dxa" w:w="1129"/>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S13–S14</w:t>
            </w:r>
          </w:p>
        </w:tc>
        <w:tc>
          <w:tcPr>
            <w:tcW w:type="dxa" w:w="1317"/>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w:t>
            </w:r>
          </w:p>
        </w:tc>
        <w:tc>
          <w:tcPr>
            <w:tcW w:type="dxa" w:w="188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Sistema desplegado</w:t>
            </w:r>
          </w:p>
        </w:tc>
      </w:tr>
      <w:tr>
        <w:trPr>
          <w:cantSplit/>
        </w:trPr>
        <w:tc>
          <w:tcPr>
            <w:tcW w:type="dxa" w:w="47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17</w:t>
            </w:r>
          </w:p>
        </w:tc>
        <w:tc>
          <w:tcPr>
            <w:tcW w:type="dxa" w:w="348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Sprint 6: experiencia y gestión (logo, animaciones, progreso de pago, cancelación del propietario, historial, paneles por período)</w:t>
            </w:r>
          </w:p>
        </w:tc>
        <w:tc>
          <w:tcPr>
            <w:tcW w:type="dxa" w:w="1129"/>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w:t>
            </w:r>
          </w:p>
        </w:tc>
        <w:tc>
          <w:tcPr>
            <w:tcW w:type="dxa" w:w="1129"/>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S13–S14</w:t>
            </w:r>
          </w:p>
        </w:tc>
        <w:tc>
          <w:tcPr>
            <w:tcW w:type="dxa" w:w="1317"/>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No planificada</w:t>
            </w:r>
          </w:p>
        </w:tc>
        <w:tc>
          <w:tcPr>
            <w:tcW w:type="dxa" w:w="188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Versión 2 del prototipo</w:t>
            </w:r>
          </w:p>
        </w:tc>
      </w:tr>
      <w:tr>
        <w:trPr>
          <w:cantSplit/>
        </w:trPr>
        <w:tc>
          <w:tcPr>
            <w:tcW w:type="dxa" w:w="47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18</w:t>
            </w:r>
          </w:p>
        </w:tc>
        <w:tc>
          <w:tcPr>
            <w:tcW w:type="dxa" w:w="348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Manual de usuario y manual de instalación</w:t>
            </w:r>
          </w:p>
        </w:tc>
        <w:tc>
          <w:tcPr>
            <w:tcW w:type="dxa" w:w="1129"/>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S14</w:t>
            </w:r>
          </w:p>
        </w:tc>
        <w:tc>
          <w:tcPr>
            <w:tcW w:type="dxa" w:w="1129"/>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S14</w:t>
            </w:r>
          </w:p>
        </w:tc>
        <w:tc>
          <w:tcPr>
            <w:tcW w:type="dxa" w:w="1317"/>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w:t>
            </w:r>
          </w:p>
        </w:tc>
        <w:tc>
          <w:tcPr>
            <w:tcW w:type="dxa" w:w="188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Manuales</w:t>
            </w:r>
          </w:p>
        </w:tc>
      </w:tr>
      <w:tr>
        <w:trPr>
          <w:cantSplit/>
        </w:trPr>
        <w:tc>
          <w:tcPr>
            <w:tcW w:type="dxa" w:w="47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19</w:t>
            </w:r>
          </w:p>
        </w:tc>
        <w:tc>
          <w:tcPr>
            <w:tcW w:type="dxa" w:w="3480"/>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Hito: entrega ES2 (Informe de Desarrollo)</w:t>
            </w:r>
          </w:p>
        </w:tc>
        <w:tc>
          <w:tcPr>
            <w:tcW w:type="dxa" w:w="1129"/>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S14</w:t>
            </w:r>
          </w:p>
        </w:tc>
        <w:tc>
          <w:tcPr>
            <w:tcW w:type="dxa" w:w="1129"/>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S14</w:t>
            </w:r>
          </w:p>
        </w:tc>
        <w:tc>
          <w:tcPr>
            <w:tcW w:type="dxa" w:w="1317"/>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center"/>
            </w:pPr>
            <w:r>
              <w:rPr>
                <w:rFonts w:ascii="Arial" w:cs="Arial" w:eastAsia="Arial" w:hAnsi="Arial"/>
                <w:sz w:val="18"/>
                <w:szCs w:val="18"/>
              </w:rPr>
              <w:t xml:space="preserve">0</w:t>
            </w:r>
          </w:p>
        </w:tc>
        <w:tc>
          <w:tcPr>
            <w:tcW w:type="dxa" w:w="188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Este informe</w:t>
            </w:r>
          </w:p>
        </w:tc>
      </w:tr>
      <w:tr>
        <w:trPr>
          <w:cantSplit/>
        </w:trPr>
        <w:tc>
          <w:tcPr>
            <w:tcW w:type="dxa" w:w="47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20</w:t>
            </w:r>
          </w:p>
        </w:tc>
        <w:tc>
          <w:tcPr>
            <w:tcW w:type="dxa" w:w="3480"/>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Hito: entrega ES3</w:t>
            </w:r>
          </w:p>
        </w:tc>
        <w:tc>
          <w:tcPr>
            <w:tcW w:type="dxa" w:w="1129"/>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S15</w:t>
            </w:r>
          </w:p>
        </w:tc>
        <w:tc>
          <w:tcPr>
            <w:tcW w:type="dxa" w:w="1129"/>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S15</w:t>
            </w:r>
          </w:p>
        </w:tc>
        <w:tc>
          <w:tcPr>
            <w:tcW w:type="dxa" w:w="1317"/>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center"/>
            </w:pPr>
            <w:r>
              <w:rPr>
                <w:rFonts w:ascii="Arial" w:cs="Arial" w:eastAsia="Arial" w:hAnsi="Arial"/>
                <w:sz w:val="18"/>
                <w:szCs w:val="18"/>
              </w:rPr>
              <w:t xml:space="preserve">0</w:t>
            </w:r>
          </w:p>
        </w:tc>
        <w:tc>
          <w:tcPr>
            <w:tcW w:type="dxa" w:w="188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Presentación</w:t>
            </w:r>
          </w:p>
        </w:tc>
      </w:tr>
    </w:tbl>
    <w:p>
      <w:pPr>
        <w:pStyle w:val="Heading3"/>
        <w:spacing w:after="100" w:before="180"/>
      </w:pPr>
      <w:r>
        <w:rPr>
          <w:rFonts w:ascii="Arial" w:cs="Arial" w:eastAsia="Arial" w:hAnsi="Arial"/>
          <w:b/>
          <w:bCs/>
          <w:sz w:val="22"/>
          <w:szCs w:val="22"/>
        </w:rPr>
        <w:t xml:space="preserve">c) Revisión del cronograma y justificación de los ajustes</w:t>
      </w:r>
    </w:p>
    <w:p>
      <w:pPr>
        <w:spacing w:after="140" w:line="260"/>
        <w:jc w:val="both"/>
      </w:pPr>
      <w:r>
        <w:rPr>
          <w:rFonts w:ascii="Arial" w:cs="Arial" w:eastAsia="Arial" w:hAnsi="Arial"/>
          <w:sz w:val="22"/>
          <w:szCs w:val="22"/>
        </w:rPr>
        <w:t xml:space="preserve">La revisión comparó semanalmente la ejecución con la línea base. Se detectaron cuatro desviaciones principales, todas absorbidas sin mover los hitos de evaluación:</w:t>
      </w:r>
    </w:p>
    <w:p>
      <w:pPr>
        <w:pStyle w:val="ListParagraph"/>
        <w:numPr>
          <w:ilvl w:val="0"/>
          <w:numId w:val="3"/>
        </w:numPr>
        <w:spacing w:after="60" w:line="260"/>
        <w:jc w:val="both"/>
      </w:pPr>
      <w:r>
        <w:rPr>
          <w:rFonts w:ascii="Arial" w:cs="Arial" w:eastAsia="Arial" w:hAnsi="Arial"/>
          <w:b/>
          <w:bCs/>
          <w:sz w:val="22"/>
          <w:szCs w:val="22"/>
        </w:rPr>
        <w:t xml:space="preserve">Migración de la persistencia (no planificada, S9–S10):</w:t>
      </w:r>
      <w:r>
        <w:rPr>
          <w:rFonts w:ascii="Arial" w:cs="Arial" w:eastAsia="Arial" w:hAnsi="Arial"/>
          <w:sz w:val="22"/>
          <w:szCs w:val="22"/>
        </w:rPr>
        <w:t xml:space="preserve"> el primer prototipo guardaba los datos en localStorage del navegador, lo que impedía compartir información entre usuarios, aplicar seguridad real y evitar la sobreventa. Se decidió migrar a Supabase. La actividad consumió dos semanas, pero eliminó una deuda técnica que habría invalidado los procesos de reserva y pago.</w:t>
      </w:r>
    </w:p>
    <w:p>
      <w:pPr>
        <w:pStyle w:val="ListParagraph"/>
        <w:numPr>
          <w:ilvl w:val="0"/>
          <w:numId w:val="3"/>
        </w:numPr>
        <w:spacing w:after="60" w:line="260"/>
        <w:jc w:val="both"/>
      </w:pPr>
      <w:r>
        <w:rPr>
          <w:rFonts w:ascii="Arial" w:cs="Arial" w:eastAsia="Arial" w:hAnsi="Arial"/>
          <w:b/>
          <w:bCs/>
          <w:sz w:val="22"/>
          <w:szCs w:val="22"/>
        </w:rPr>
        <w:t xml:space="preserve">Cambio de KYC automatizado a revisión manual (S8–S9):</w:t>
      </w:r>
      <w:r>
        <w:rPr>
          <w:rFonts w:ascii="Arial" w:cs="Arial" w:eastAsia="Arial" w:hAnsi="Arial"/>
          <w:sz w:val="22"/>
          <w:szCs w:val="22"/>
        </w:rPr>
        <w:t xml:space="preserve"> la verificación con inteligencia artificial implicaba enviar datos biométricos —datos sensibles según la Ley 21.719— a un tercero, con costo por uso y sin garantías de precisión. La revisión manual por un administrador redujo el riesgo legal y el costo, y simplificó el sprint 1.</w:t>
      </w:r>
    </w:p>
    <w:p>
      <w:pPr>
        <w:pStyle w:val="ListParagraph"/>
        <w:numPr>
          <w:ilvl w:val="0"/>
          <w:numId w:val="3"/>
        </w:numPr>
        <w:spacing w:after="60" w:line="260"/>
        <w:jc w:val="both"/>
      </w:pPr>
      <w:r>
        <w:rPr>
          <w:rFonts w:ascii="Arial" w:cs="Arial" w:eastAsia="Arial" w:hAnsi="Arial"/>
          <w:b/>
          <w:bCs/>
          <w:sz w:val="22"/>
          <w:szCs w:val="22"/>
        </w:rPr>
        <w:t xml:space="preserve">Incorporación de la billetera Oneclick (S11–S12):</w:t>
      </w:r>
      <w:r>
        <w:rPr>
          <w:rFonts w:ascii="Arial" w:cs="Arial" w:eastAsia="Arial" w:hAnsi="Arial"/>
          <w:sz w:val="22"/>
          <w:szCs w:val="22"/>
        </w:rPr>
        <w:t xml:space="preserve"> se agregó para permitir pagos sin reingresar la tarjeta, lo que mejora la conversión. Extendió el sprint 5 en una semana; se compensó comprimiendo el sprint 4, ya que la integración con Webpay Plus reutilizó la estructura de las funciones serverless.</w:t>
      </w:r>
    </w:p>
    <w:p>
      <w:pPr>
        <w:pStyle w:val="ListParagraph"/>
        <w:numPr>
          <w:ilvl w:val="0"/>
          <w:numId w:val="3"/>
        </w:numPr>
        <w:spacing w:after="60" w:line="260"/>
        <w:jc w:val="both"/>
      </w:pPr>
      <w:r>
        <w:rPr>
          <w:rFonts w:ascii="Arial" w:cs="Arial" w:eastAsia="Arial" w:hAnsi="Arial"/>
          <w:b/>
          <w:bCs/>
          <w:sz w:val="22"/>
          <w:szCs w:val="22"/>
        </w:rPr>
        <w:t xml:space="preserve">Ampliación de las pruebas (S10–S13):</w:t>
      </w:r>
      <w:r>
        <w:rPr>
          <w:rFonts w:ascii="Arial" w:cs="Arial" w:eastAsia="Arial" w:hAnsi="Arial"/>
          <w:sz w:val="22"/>
          <w:szCs w:val="22"/>
        </w:rPr>
        <w:t xml:space="preserve"> las pruebas se iniciaron una semana antes de lo planificado para cubrir las reglas de precio y reembolso antes de replicarlas en SQL, y se extendieron hasta la S13 para incorporar las observaciones de la EF2.</w:t>
      </w:r>
    </w:p>
    <w:p>
      <w:pPr>
        <w:pStyle w:val="ListParagraph"/>
        <w:numPr>
          <w:ilvl w:val="0"/>
          <w:numId w:val="3"/>
        </w:numPr>
        <w:spacing w:after="60" w:line="260"/>
        <w:jc w:val="both"/>
      </w:pPr>
      <w:r>
        <w:rPr>
          <w:rFonts w:ascii="Arial" w:cs="Arial" w:eastAsia="Arial" w:hAnsi="Arial"/>
          <w:b/>
          <w:bCs/>
          <w:sz w:val="22"/>
          <w:szCs w:val="22"/>
        </w:rPr>
        <w:t xml:space="preserve">Sprint 6 de experiencia y gestión (no planificado, S13–S14):</w:t>
      </w:r>
      <w:r>
        <w:rPr>
          <w:rFonts w:ascii="Arial" w:cs="Arial" w:eastAsia="Arial" w:hAnsi="Arial"/>
          <w:sz w:val="22"/>
          <w:szCs w:val="22"/>
        </w:rPr>
        <w:t xml:space="preserve"> las pruebas con usuarios mostraron tres problemas que afectaban la confianza: al pagar, la pantalla parecía quedarse cargando sin explicar qué ocurría; el propietario no podía cancelar una reserva confirmada; y los paneles solo mostraban datos mensuales. Se agregaron una pantalla de progreso y resultado del pago, la cancelación por el propietario con reembolso del 100 %, el historial de canceladas separado por quién canceló (excluyendo las anuladas por pago rechazado), la vista por día, semana o mes, y una identidad visual propia con animaciones. También se corrigió un error que impedía guardar la opción de reserva inmediata. Se probó un rediseño completo de las vistas, pero se descartó tras la revisión del equipo para conservar la interfaz ya validada; el esfuerzo se concentró en cambios puntuales. El sprint usó la holgura de la documentación, que se compensó generando los manuales a partir de capturas automatizadas.</w:t>
      </w:r>
    </w:p>
    <w:p>
      <w:pPr>
        <w:spacing w:after="140" w:line="260"/>
        <w:jc w:val="both"/>
      </w:pPr>
      <w:r>
        <w:rPr>
          <w:rFonts w:ascii="Arial" w:cs="Arial" w:eastAsia="Arial" w:hAnsi="Arial"/>
          <w:sz w:val="22"/>
          <w:szCs w:val="22"/>
        </w:rPr>
        <w:t xml:space="preserve">El backend también se simplificó: en lugar de mantener un servidor Express permanente, la API se trasladó a funciones serverless de Vercel, conservando server.ts para desarrollo local y la alternativa de Render. Esto redujo el costo operativo y el tiempo de despliegue.</w:t>
      </w:r>
    </w:p>
    <w:p>
      <w:pPr>
        <w:pStyle w:val="Heading3"/>
        <w:spacing w:after="100" w:before="180"/>
      </w:pPr>
      <w:r>
        <w:rPr>
          <w:rFonts w:ascii="Arial" w:cs="Arial" w:eastAsia="Arial" w:hAnsi="Arial"/>
          <w:b/>
          <w:bCs/>
          <w:sz w:val="22"/>
          <w:szCs w:val="22"/>
        </w:rPr>
        <w:t xml:space="preserve">d) Ruta crítica y holguras</w:t>
      </w:r>
    </w:p>
    <w:p>
      <w:pPr>
        <w:spacing w:after="140" w:line="260"/>
        <w:jc w:val="both"/>
      </w:pPr>
      <w:r>
        <w:rPr>
          <w:rFonts w:ascii="Arial" w:cs="Arial" w:eastAsia="Arial" w:hAnsi="Arial"/>
          <w:sz w:val="22"/>
          <w:szCs w:val="22"/>
        </w:rPr>
        <w:t xml:space="preserve">La ruta crítica del proyecto es: modelo de datos y RLS → reservas con anti-sobreventa → contratos y pagos → pruebas de aceptación → despliegue → entrega ES2. Cualquier atraso en estas actividades desplaza la entrega. Las actividades de documentación, diagramas y reportes del administrador tienen holgura de aproximadamente una semana, por lo que se usaron para absorber las desviaciones descritas.</w:t>
      </w:r>
    </w:p>
    <w:p>
      <w:pPr>
        <w:pStyle w:val="Heading3"/>
        <w:spacing w:after="100" w:before="180"/>
      </w:pPr>
      <w:r>
        <w:rPr>
          <w:rFonts w:ascii="Arial" w:cs="Arial" w:eastAsia="Arial" w:hAnsi="Arial"/>
          <w:b/>
          <w:bCs/>
          <w:sz w:val="22"/>
          <w:szCs w:val="22"/>
        </w:rPr>
        <w:t xml:space="preserve">e) Plan de acción hasta el cierre</w:t>
      </w:r>
    </w:p>
    <w:p>
      <w:pPr>
        <w:keepNext/>
        <w:spacing w:after="0" w:before="160"/>
      </w:pPr>
      <w:r>
        <w:rPr>
          <w:rFonts w:ascii="Arial" w:cs="Arial" w:eastAsia="Arial" w:hAnsi="Arial"/>
          <w:b/>
          <w:bCs/>
          <w:sz w:val="20"/>
          <w:szCs w:val="20"/>
        </w:rPr>
        <w:t xml:space="preserve">Tabla 26</w:t>
      </w:r>
    </w:p>
    <w:p>
      <w:pPr>
        <w:keepNext/>
        <w:spacing w:after="80"/>
      </w:pPr>
      <w:r>
        <w:rPr>
          <w:rFonts w:ascii="Arial" w:cs="Arial" w:eastAsia="Arial" w:hAnsi="Arial"/>
          <w:i/>
          <w:iCs/>
          <w:sz w:val="20"/>
          <w:szCs w:val="20"/>
        </w:rPr>
        <w:t xml:space="preserve">Acciones pendientes hasta la entrega final</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6114"/>
        <w:gridCol w:w="1411"/>
        <w:gridCol w:w="1881"/>
      </w:tblGrid>
      <w:tr>
        <w:trPr>
          <w:tblHeader/>
        </w:trPr>
        <w:tc>
          <w:tcPr>
            <w:tcW w:type="dxa" w:w="6114"/>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Acción</w:t>
            </w:r>
          </w:p>
        </w:tc>
        <w:tc>
          <w:tcPr>
            <w:tcW w:type="dxa" w:w="1411"/>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Responsable</w:t>
            </w:r>
          </w:p>
        </w:tc>
        <w:tc>
          <w:tcPr>
            <w:tcW w:type="dxa" w:w="1881"/>
            <w:tcBorders>
              <w:top w:val="single" w:color="8EA9DB" w:sz="4"/>
              <w:left w:val="single" w:color="8EA9DB" w:sz="4"/>
              <w:bottom w:val="single" w:color="8EA9DB" w:sz="4"/>
              <w:right w:val="single" w:color="8EA9DB" w:sz="4"/>
            </w:tcBorders>
            <w:shd w:fill="1F3864" w:color="auto" w:val="clear"/>
            <w:tcMar>
              <w:top w:type="dxa" w:w="50"/>
              <w:left w:type="dxa" w:w="90"/>
              <w:bottom w:type="dxa" w:w="50"/>
              <w:right w:type="dxa" w:w="90"/>
            </w:tcMar>
            <w:vAlign w:val="center"/>
          </w:tcPr>
          <w:p>
            <w:pPr>
              <w:jc w:val="center"/>
            </w:pPr>
            <w:r>
              <w:rPr>
                <w:rFonts w:ascii="Arial" w:cs="Arial" w:eastAsia="Arial" w:hAnsi="Arial"/>
                <w:b/>
                <w:bCs/>
                <w:color w:val="FFFFFF"/>
                <w:sz w:val="18"/>
                <w:szCs w:val="18"/>
              </w:rPr>
              <w:t xml:space="preserve">Plazo</w:t>
            </w:r>
          </w:p>
        </w:tc>
      </w:tr>
      <w:tr>
        <w:trPr>
          <w:cantSplit/>
        </w:trPr>
        <w:tc>
          <w:tcPr>
            <w:tcW w:type="dxa" w:w="6114"/>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Completar datos legales de la empresa (razón social, RUT, domicilio) en términos y contratos</w:t>
            </w:r>
          </w:p>
        </w:tc>
        <w:tc>
          <w:tcPr>
            <w:tcW w:type="dxa" w:w="141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Equipo</w:t>
            </w:r>
          </w:p>
        </w:tc>
        <w:tc>
          <w:tcPr>
            <w:tcW w:type="dxa" w:w="188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S14</w:t>
            </w:r>
          </w:p>
        </w:tc>
      </w:tr>
      <w:tr>
        <w:trPr>
          <w:cantSplit/>
        </w:trPr>
        <w:tc>
          <w:tcPr>
            <w:tcW w:type="dxa" w:w="6114"/>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Definir plazos de retención de documentos KYC y biometría (Ley 21.719)</w:t>
            </w:r>
          </w:p>
        </w:tc>
        <w:tc>
          <w:tcPr>
            <w:tcW w:type="dxa" w:w="141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Equipo</w:t>
            </w:r>
          </w:p>
        </w:tc>
        <w:tc>
          <w:tcPr>
            <w:tcW w:type="dxa" w:w="188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S14</w:t>
            </w:r>
          </w:p>
        </w:tc>
      </w:tr>
      <w:tr>
        <w:trPr>
          <w:cantSplit/>
        </w:trPr>
        <w:tc>
          <w:tcPr>
            <w:tcW w:type="dxa" w:w="6114"/>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Medir Lighthouse y tiempos de respuesta sobre el despliegue final y registrar resultados</w:t>
            </w:r>
          </w:p>
        </w:tc>
        <w:tc>
          <w:tcPr>
            <w:tcW w:type="dxa" w:w="141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Equipo</w:t>
            </w:r>
          </w:p>
        </w:tc>
        <w:tc>
          <w:tcPr>
            <w:tcW w:type="dxa" w:w="188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S14</w:t>
            </w:r>
          </w:p>
        </w:tc>
      </w:tr>
      <w:tr>
        <w:trPr>
          <w:cantSplit/>
        </w:trPr>
        <w:tc>
          <w:tcPr>
            <w:tcW w:type="dxa" w:w="6114"/>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Ejecutar la batería completa de criterios CA-01 a CA-20 y documentar evidencia</w:t>
            </w:r>
          </w:p>
        </w:tc>
        <w:tc>
          <w:tcPr>
            <w:tcW w:type="dxa" w:w="141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Equipo</w:t>
            </w:r>
          </w:p>
        </w:tc>
        <w:tc>
          <w:tcPr>
            <w:tcW w:type="dxa" w:w="188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S14</w:t>
            </w:r>
          </w:p>
        </w:tc>
      </w:tr>
      <w:tr>
        <w:trPr>
          <w:cantSplit/>
        </w:trPr>
        <w:tc>
          <w:tcPr>
            <w:tcW w:type="dxa" w:w="6114"/>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Ejecutar en Supabase la última versión de reset-and-setup.sql y redesplegar en Vercel</w:t>
            </w:r>
          </w:p>
        </w:tc>
        <w:tc>
          <w:tcPr>
            <w:tcW w:type="dxa" w:w="141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Equipo</w:t>
            </w:r>
          </w:p>
        </w:tc>
        <w:tc>
          <w:tcPr>
            <w:tcW w:type="dxa" w:w="1881"/>
            <w:tcBorders>
              <w:top w:val="single" w:color="8EA9DB" w:sz="4"/>
              <w:left w:val="single" w:color="8EA9DB" w:sz="4"/>
              <w:bottom w:val="single" w:color="8EA9DB" w:sz="4"/>
              <w:right w:val="single" w:color="8EA9DB" w:sz="4"/>
            </w:tcBorders>
            <w:tcMar>
              <w:top w:type="dxa" w:w="50"/>
              <w:left w:type="dxa" w:w="90"/>
              <w:bottom w:type="dxa" w:w="50"/>
              <w:right w:type="dxa" w:w="90"/>
            </w:tcMar>
            <w:vAlign w:val="center"/>
          </w:tcPr>
          <w:p>
            <w:pPr>
              <w:jc w:val="left"/>
            </w:pPr>
            <w:r>
              <w:rPr>
                <w:rFonts w:ascii="Arial" w:cs="Arial" w:eastAsia="Arial" w:hAnsi="Arial"/>
                <w:sz w:val="18"/>
                <w:szCs w:val="18"/>
              </w:rPr>
              <w:t xml:space="preserve">S14</w:t>
            </w:r>
          </w:p>
        </w:tc>
      </w:tr>
      <w:tr>
        <w:trPr>
          <w:cantSplit/>
        </w:trPr>
        <w:tc>
          <w:tcPr>
            <w:tcW w:type="dxa" w:w="6114"/>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Preparar presentación y demostración en vivo para ES3</w:t>
            </w:r>
          </w:p>
        </w:tc>
        <w:tc>
          <w:tcPr>
            <w:tcW w:type="dxa" w:w="141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Equipo</w:t>
            </w:r>
          </w:p>
        </w:tc>
        <w:tc>
          <w:tcPr>
            <w:tcW w:type="dxa" w:w="1881"/>
            <w:tcBorders>
              <w:top w:val="single" w:color="8EA9DB" w:sz="4"/>
              <w:left w:val="single" w:color="8EA9DB" w:sz="4"/>
              <w:bottom w:val="single" w:color="8EA9DB" w:sz="4"/>
              <w:right w:val="single" w:color="8EA9DB" w:sz="4"/>
            </w:tcBorders>
            <w:shd w:fill="F2F6FC" w:color="auto" w:val="clear"/>
            <w:tcMar>
              <w:top w:type="dxa" w:w="50"/>
              <w:left w:type="dxa" w:w="90"/>
              <w:bottom w:type="dxa" w:w="50"/>
              <w:right w:type="dxa" w:w="90"/>
            </w:tcMar>
            <w:vAlign w:val="center"/>
          </w:tcPr>
          <w:p>
            <w:pPr>
              <w:jc w:val="left"/>
            </w:pPr>
            <w:r>
              <w:rPr>
                <w:rFonts w:ascii="Arial" w:cs="Arial" w:eastAsia="Arial" w:hAnsi="Arial"/>
                <w:sz w:val="18"/>
                <w:szCs w:val="18"/>
              </w:rPr>
              <w:t xml:space="preserve">S15</w:t>
            </w:r>
          </w:p>
        </w:tc>
      </w:tr>
    </w:tbl>
    <w:p>
      <w:r>
        <w:br w:type="page"/>
      </w:r>
    </w:p>
    <w:p>
      <w:pPr>
        <w:pStyle w:val="Heading1"/>
        <w:spacing w:after="160" w:before="240"/>
      </w:pPr>
      <w:r>
        <w:rPr>
          <w:rFonts w:ascii="Arial" w:cs="Arial" w:eastAsia="Arial" w:hAnsi="Arial"/>
          <w:b/>
          <w:bCs/>
          <w:color w:val="1F3864"/>
          <w:sz w:val="28"/>
          <w:szCs w:val="28"/>
        </w:rPr>
        <w:t xml:space="preserve">IV. Conclusiones</w:t>
      </w:r>
    </w:p>
    <w:p>
      <w:pPr>
        <w:spacing w:after="140" w:line="260"/>
        <w:jc w:val="both"/>
      </w:pPr>
      <w:r>
        <w:rPr>
          <w:rFonts w:ascii="Arial" w:cs="Arial" w:eastAsia="Arial" w:hAnsi="Arial"/>
          <w:sz w:val="22"/>
          <w:szCs w:val="22"/>
        </w:rPr>
        <w:t xml:space="preserve">El desarrollo de Spotly durante la Unidad 2 permitió transformar un análisis de requisitos en una solución técnica concreta y funcional. El principal aprendizaje del equipo es que las decisiones de diseño tomadas al inicio —topología, infraestructura y arquitectura— condicionan todo lo que viene después. Separar con claridad lo que puede hacer el navegador de lo que solo puede hacer el servidor fue la decisión que más impacto tuvo en la seguridad del sistema: la SPA trabaja con la llave pública bajo políticas RLS, y las operaciones con secretos (pagos, billetera, inicio de sesión con bloqueo) viven exclusivamente en funciones serverless. Esta separación hace que, aun cuando un usuario manipule el código del navegador, no pueda acceder a datos de terceros ni alterar montos.</w:t>
      </w:r>
    </w:p>
    <w:p>
      <w:pPr>
        <w:spacing w:after="140" w:line="260"/>
        <w:jc w:val="both"/>
      </w:pPr>
      <w:r>
        <w:rPr>
          <w:rFonts w:ascii="Arial" w:cs="Arial" w:eastAsia="Arial" w:hAnsi="Arial"/>
          <w:sz w:val="22"/>
          <w:szCs w:val="22"/>
        </w:rPr>
        <w:t xml:space="preserve">El análisis cualitativo y cuantitativo de tecnologías demostró su valor como herramienta de decisión. Más allá del puntaje final, las matrices ponderadas obligaron a explicitar qué era importante para el proyecto. El ejemplo más claro fue la elección de PostgreSQL sobre alternativas NoSQL: en un sistema de reservas, la imposibilidad de que dos personas reserven el mismo espacio en el mismo horario no puede depender de la lógica del cliente. La restricción de exclusión sobre rangos de tiempo de PostgreSQL resolvió ese problema en la propia base de datos, de manera atómica, algo que otras alternativas no ofrecían de forma nativa. Del mismo modo, TypeScript permitió detectar errores durante la compilación que en JavaScript habrían aparecido en producción.</w:t>
      </w:r>
    </w:p>
    <w:p>
      <w:pPr>
        <w:spacing w:after="140" w:line="260"/>
        <w:jc w:val="both"/>
      </w:pPr>
      <w:r>
        <w:rPr>
          <w:rFonts w:ascii="Arial" w:cs="Arial" w:eastAsia="Arial" w:hAnsi="Arial"/>
          <w:sz w:val="22"/>
          <w:szCs w:val="22"/>
        </w:rPr>
        <w:t xml:space="preserve">La evaluación de proveedores mostró que es posible construir y operar un prototipo completo con costo fijo cero, y que el salto a producción es acotado: aproximadamente US$ 45 mensuales más las comisiones variables de Transbank. Sin embargo, también dejó en evidencia riesgos que no se ven en una comparación de precios, como la pausa por inactividad del plan gratuito de Supabase, la ausencia de un SLA contractual en los planes de entrada y la dependencia de la API específica del proveedor de pagos. Para cada uno se definió una mitigación concreta, y el uso de tecnologías estándar (PostgreSQL, TypeScript, HTTP) mantiene abierta la posibilidad de cambiar de proveedor si las condiciones cambian.</w:t>
      </w:r>
    </w:p>
    <w:p>
      <w:pPr>
        <w:spacing w:after="140" w:line="260"/>
        <w:jc w:val="both"/>
      </w:pPr>
      <w:r>
        <w:rPr>
          <w:rFonts w:ascii="Arial" w:cs="Arial" w:eastAsia="Arial" w:hAnsi="Arial"/>
          <w:sz w:val="22"/>
          <w:szCs w:val="22"/>
        </w:rPr>
        <w:t xml:space="preserve">En cuanto al prototipo, el equipo logró implementar los nueve procesos definidos, desde el registro y la verificación de identidad hasta la administración con indicadores y auditoría. Un hallazgo importante fue la necesidad de duplicar de forma coherente las reglas de negocio críticas: el cálculo de precios y reembolsos existe en TypeScript para dar respuesta inmediata al usuario, y en SQL para que el servidor tenga la última palabra. Mantener ambas versiones sincronizadas exigió pruebas automatizadas que fijan el comportamiento esperado, lo que confirma que las pruebas no son un trámite final sino parte del diseño.</w:t>
      </w:r>
    </w:p>
    <w:p>
      <w:pPr>
        <w:spacing w:after="140" w:line="260"/>
        <w:jc w:val="both"/>
      </w:pPr>
      <w:r>
        <w:rPr>
          <w:rFonts w:ascii="Arial" w:cs="Arial" w:eastAsia="Arial" w:hAnsi="Arial"/>
          <w:sz w:val="22"/>
          <w:szCs w:val="22"/>
        </w:rPr>
        <w:t xml:space="preserve">La incorporación de criterios de aceptación verificables y de un marco normativo explícito cambió la forma en que el equipo entiende la calidad. Revisar la Ley 21.719, que entra en vigencia el 1 de diciembre de 2026, llevó a reconsiderar la verificación de identidad automatizada con inteligencia artificial: los datos biométricos son datos sensibles y enviarlos a un tercero implicaba riesgos legales que el proyecto no podía asumir. La revisión manual es menos escalable, pero es la opción responsable para esta etapa. De igual forma, delegar el manejo de tarjetas en Transbank redujo drásticamente el alcance de PCI DSS, y alinear los controles con OWASP Top 10 entregó una lista de verificación concreta para la seguridad.</w:t>
      </w:r>
    </w:p>
    <w:p>
      <w:pPr>
        <w:spacing w:after="140" w:line="260"/>
        <w:jc w:val="both"/>
      </w:pPr>
      <w:r>
        <w:rPr>
          <w:rFonts w:ascii="Arial" w:cs="Arial" w:eastAsia="Arial" w:hAnsi="Arial"/>
          <w:sz w:val="22"/>
          <w:szCs w:val="22"/>
        </w:rPr>
        <w:t xml:space="preserve">La gestión del cronograma fue otro aprendizaje relevante. La carta Gantt no se mantuvo idéntica a la línea base, y eso no fue una falla, sino el reflejo de decisiones técnicas fundamentadas: migrar la persistencia del almacenamiento local a una base de datos real, simplificar el backend a funciones serverless y agregar la billetera de tarjetas. Lo importante fue que cada desviación se detectó a tiempo, se justificó y se compensó usando las holguras de actividades fuera de la ruta crítica, sin afectar los hitos de evaluación. Esto confirma la utilidad de revisar el cronograma semanalmente y no solo al final de cada etapa.</w:t>
      </w:r>
    </w:p>
    <w:p>
      <w:pPr>
        <w:spacing w:after="140" w:line="260"/>
        <w:jc w:val="both"/>
      </w:pPr>
      <w:r>
        <w:rPr>
          <w:rFonts w:ascii="Arial" w:cs="Arial" w:eastAsia="Arial" w:hAnsi="Arial"/>
          <w:sz w:val="22"/>
          <w:szCs w:val="22"/>
        </w:rPr>
        <w:t xml:space="preserve">Desde la perspectiva del trabajo en equipo, el proyecto evidenció la importancia de contar con una fuente única de verdad. Mantener el esquema completo de la base de datos en un solo script transaccional y versionado permitió que cualquier integrante recreara el entorno desde cero en minutos, y evitó las inconsistencias típicas de modificar la base de datos manualmente desde un panel web. Lo mismo ocurrió con la especificación OpenAPI y con las variables de entorno documentadas: la documentación técnica dejó de ser un entregable aparte y pasó a formar parte del propio código, lo que redujo los errores de integración entre el frontend y las funciones serverless.</w:t>
      </w:r>
    </w:p>
    <w:p>
      <w:pPr>
        <w:spacing w:after="140" w:line="260"/>
        <w:jc w:val="both"/>
      </w:pPr>
      <w:r>
        <w:rPr>
          <w:rFonts w:ascii="Arial" w:cs="Arial" w:eastAsia="Arial" w:hAnsi="Arial"/>
          <w:sz w:val="22"/>
          <w:szCs w:val="22"/>
        </w:rPr>
        <w:t xml:space="preserve">La integración con Transbank fue una de las experiencias más formativas. Trabajar con un proveedor de pagos real, aun en ambiente de integración, obligó al equipo a comprender el ciclo completo de una transacción: creación, redirección, confirmación en el servidor, manejo de rechazos, tiempos de espera y reembolsos. La decisión de confirmar siempre el pago desde el servidor, y no confiar en lo que informa el navegador al volver de Transbank, junto con los holds de 20 minutos que liberan automáticamente el espacio, demostró que la robustez de un sistema de pagos depende tanto del manejo de los casos de error como del flujo exitoso.</w:t>
      </w:r>
    </w:p>
    <w:p>
      <w:pPr>
        <w:spacing w:after="140" w:line="260"/>
        <w:jc w:val="both"/>
      </w:pPr>
      <w:r>
        <w:rPr>
          <w:rFonts w:ascii="Arial" w:cs="Arial" w:eastAsia="Arial" w:hAnsi="Arial"/>
          <w:sz w:val="22"/>
          <w:szCs w:val="22"/>
        </w:rPr>
        <w:t xml:space="preserve">El equipo también valoró el enfoque de criterios de aceptación en formato dado / cuando / entonces. Redactar cada criterio de forma verificable obligó a precisar requisitos que en el Informe de Análisis estaban expresados de manera general, como «el sistema debe ser seguro» o «el sistema debe evitar dobles reservas». Al traducirlos a condiciones comprobables, con un método de verificación asociado, se hizo evidente qué parte de cada requisito ya estaba cubierta por pruebas automatizadas y qué parte dependía todavía de pruebas manuales, lo que orientó el esfuerzo de calidad de las últimas semanas.</w:t>
      </w:r>
    </w:p>
    <w:p>
      <w:pPr>
        <w:spacing w:after="140" w:line="260"/>
        <w:jc w:val="both"/>
      </w:pPr>
      <w:r>
        <w:rPr>
          <w:rFonts w:ascii="Arial" w:cs="Arial" w:eastAsia="Arial" w:hAnsi="Arial"/>
          <w:sz w:val="22"/>
          <w:szCs w:val="22"/>
        </w:rPr>
        <w:t xml:space="preserve">Finalmente, la relación entre costo y arquitectura fue una conclusión transversal. El modelo serverless y los servicios gestionados no solo redujeron el costo inicial a cero, sino que también disminuyeron la carga operativa del equipo: no fue necesario administrar servidores, aplicar parches de sistema operativo ni configurar respaldos manuales. Este ahorro de tiempo se reinvirtió directamente en funcionalidades y en seguridad. La contrapartida es una mayor dependencia de proveedores externos, que el equipo considera aceptable para la etapa actual siempre que se mantengan las medidas de portabilidad descritas en este informe.</w:t>
      </w:r>
    </w:p>
    <w:p>
      <w:pPr>
        <w:spacing w:after="140" w:line="260"/>
        <w:jc w:val="both"/>
      </w:pPr>
      <w:r>
        <w:rPr>
          <w:rFonts w:ascii="Arial" w:cs="Arial" w:eastAsia="Arial" w:hAnsi="Arial"/>
          <w:sz w:val="22"/>
          <w:szCs w:val="22"/>
        </w:rPr>
        <w:t xml:space="preserve">La última iteración dejó una lección sobre la experiencia de usuario: una funcionalidad correcta puede percibirse como defectuosa si no comunica lo que está pasando. El pago siempre funcionó, pero la falta de una pantalla de progreso hacía pensar al usuario que el sistema se había quedado pegado. Del mismo modo, mostrar en el historial las reservas que nunca se pagaron (por saldo insuficiente) generaba ruido. Escuchar esa retroalimentación y priorizar cambios puntuales, en lugar de rediseñar toda la interfaz, permitió mejorar la confianza en el producto sin poner en riesgo lo que ya estaba validado.</w:t>
      </w:r>
    </w:p>
    <w:p>
      <w:pPr>
        <w:spacing w:after="140" w:line="260"/>
        <w:jc w:val="both"/>
      </w:pPr>
      <w:r>
        <w:rPr>
          <w:rFonts w:ascii="Arial" w:cs="Arial" w:eastAsia="Arial" w:hAnsi="Arial"/>
          <w:sz w:val="22"/>
          <w:szCs w:val="22"/>
        </w:rPr>
        <w:t xml:space="preserve">Como limitaciones, el prototipo opera en el ambiente de integración de Transbank y en planes gratuitos, por lo que aún no se han medido el rendimiento ni la disponibilidad bajo carga real. Quedan pendientes completar los datos legales de la empresa en los términos y contratos, definir los plazos de retención de los documentos de identidad, y registrar las mediciones de rendimiento sobre el despliegue final. Estas tareas están incorporadas en el plan de acción hacia la entrega final.</w:t>
      </w:r>
    </w:p>
    <w:p>
      <w:pPr>
        <w:spacing w:after="140" w:line="260"/>
        <w:jc w:val="both"/>
      </w:pPr>
      <w:r>
        <w:rPr>
          <w:rFonts w:ascii="Arial" w:cs="Arial" w:eastAsia="Arial" w:hAnsi="Arial"/>
          <w:sz w:val="22"/>
          <w:szCs w:val="22"/>
        </w:rPr>
        <w:t xml:space="preserve">Como trabajo futuro, el equipo identifica cuatro líneas: obtener la afiliación comercial con Transbank para operar con pagos reales; migrar a los planes Pro de Supabase y Vercel con un dominio propio; incorporar pruebas de extremo a extremo y de carga para validar los criterios de rendimiento; y evaluar una verificación de identidad asistida que cumpla la nueva ley de datos personales, por ejemplo, procesando la biometría con consentimiento explícito y retención mínima.</w:t>
      </w:r>
    </w:p>
    <w:p>
      <w:pPr>
        <w:spacing w:after="140" w:line="260"/>
        <w:jc w:val="both"/>
      </w:pPr>
      <w:r>
        <w:rPr>
          <w:rFonts w:ascii="Arial" w:cs="Arial" w:eastAsia="Arial" w:hAnsi="Arial"/>
          <w:sz w:val="22"/>
          <w:szCs w:val="22"/>
        </w:rPr>
        <w:t xml:space="preserve">En síntesis, el proyecto cumplió el objetivo de la unidad: Spotly cuenta con un diseño técnico documentado, una selección de tecnologías y proveedores justificada con evidencia, un prototipo que implementa los procesos centrales del negocio con controles de seguridad reales, criterios de aceptación alineados con la normativa chilena y estándares internacionales, y una planificación revisada que conduce a la entrega final. El equipo considera que la solución es técnicamente viable y que la base construida permite escalarla hacia un producto comercial.</w:t>
      </w:r>
    </w:p>
    <w:p>
      <w:r>
        <w:br w:type="page"/>
      </w:r>
    </w:p>
    <w:p>
      <w:pPr>
        <w:pStyle w:val="Heading1"/>
        <w:spacing w:after="160" w:before="240"/>
      </w:pPr>
      <w:r>
        <w:rPr>
          <w:rFonts w:ascii="Arial" w:cs="Arial" w:eastAsia="Arial" w:hAnsi="Arial"/>
          <w:b/>
          <w:bCs/>
          <w:color w:val="1F3864"/>
          <w:sz w:val="28"/>
          <w:szCs w:val="28"/>
        </w:rPr>
        <w:t xml:space="preserve">Referencias</w:t>
      </w:r>
    </w:p>
    <w:p>
      <w:pPr>
        <w:spacing w:after="120" w:line="260"/>
        <w:ind w:left="720" w:hanging="720"/>
      </w:pPr>
      <w:r>
        <w:rPr>
          <w:rFonts w:ascii="Arial" w:cs="Arial" w:eastAsia="Arial" w:hAnsi="Arial"/>
          <w:sz w:val="22"/>
          <w:szCs w:val="22"/>
        </w:rPr>
        <w:t xml:space="preserve">Biblioteca del Congreso Nacional de Chile. (1982). </w:t>
      </w:r>
      <w:r>
        <w:rPr>
          <w:rFonts w:ascii="Arial" w:cs="Arial" w:eastAsia="Arial" w:hAnsi="Arial"/>
          <w:i/>
          <w:iCs/>
          <w:sz w:val="22"/>
          <w:szCs w:val="22"/>
        </w:rPr>
        <w:t xml:space="preserve">Ley 18.101: Fija normas especiales sobre arrendamiento de predios urbanos</w:t>
      </w:r>
      <w:r>
        <w:rPr>
          <w:rFonts w:ascii="Arial" w:cs="Arial" w:eastAsia="Arial" w:hAnsi="Arial"/>
          <w:sz w:val="22"/>
          <w:szCs w:val="22"/>
        </w:rPr>
        <w:t xml:space="preserve">. https://www.bcn.cl/leychile/navegar?idNorma=29526</w:t>
      </w:r>
    </w:p>
    <w:p>
      <w:pPr>
        <w:spacing w:after="120" w:line="260"/>
        <w:ind w:left="720" w:hanging="720"/>
      </w:pPr>
      <w:r>
        <w:rPr>
          <w:rFonts w:ascii="Arial" w:cs="Arial" w:eastAsia="Arial" w:hAnsi="Arial"/>
          <w:sz w:val="22"/>
          <w:szCs w:val="22"/>
        </w:rPr>
        <w:t xml:space="preserve">Biblioteca del Congreso Nacional de Chile. (1997). </w:t>
      </w:r>
      <w:r>
        <w:rPr>
          <w:rFonts w:ascii="Arial" w:cs="Arial" w:eastAsia="Arial" w:hAnsi="Arial"/>
          <w:i/>
          <w:iCs/>
          <w:sz w:val="22"/>
          <w:szCs w:val="22"/>
        </w:rPr>
        <w:t xml:space="preserve">Ley 19.496: Establece normas sobre protección de los derechos de los consumidores</w:t>
      </w:r>
      <w:r>
        <w:rPr>
          <w:rFonts w:ascii="Arial" w:cs="Arial" w:eastAsia="Arial" w:hAnsi="Arial"/>
          <w:sz w:val="22"/>
          <w:szCs w:val="22"/>
        </w:rPr>
        <w:t xml:space="preserve">. https://www.bcn.cl/leychile/navegar?idNorma=61438</w:t>
      </w:r>
    </w:p>
    <w:p>
      <w:pPr>
        <w:spacing w:after="120" w:line="260"/>
        <w:ind w:left="720" w:hanging="720"/>
      </w:pPr>
      <w:r>
        <w:rPr>
          <w:rFonts w:ascii="Arial" w:cs="Arial" w:eastAsia="Arial" w:hAnsi="Arial"/>
          <w:sz w:val="22"/>
          <w:szCs w:val="22"/>
        </w:rPr>
        <w:t xml:space="preserve">Biblioteca del Congreso Nacional de Chile. (1999). </w:t>
      </w:r>
      <w:r>
        <w:rPr>
          <w:rFonts w:ascii="Arial" w:cs="Arial" w:eastAsia="Arial" w:hAnsi="Arial"/>
          <w:i/>
          <w:iCs/>
          <w:sz w:val="22"/>
          <w:szCs w:val="22"/>
        </w:rPr>
        <w:t xml:space="preserve">Ley 19.628: Sobre protección de la vida privada</w:t>
      </w:r>
      <w:r>
        <w:rPr>
          <w:rFonts w:ascii="Arial" w:cs="Arial" w:eastAsia="Arial" w:hAnsi="Arial"/>
          <w:sz w:val="22"/>
          <w:szCs w:val="22"/>
        </w:rPr>
        <w:t xml:space="preserve">. https://www.bcn.cl/leychile/navegar?idNorma=141599</w:t>
      </w:r>
    </w:p>
    <w:p>
      <w:pPr>
        <w:spacing w:after="120" w:line="260"/>
        <w:ind w:left="720" w:hanging="720"/>
      </w:pPr>
      <w:r>
        <w:rPr>
          <w:rFonts w:ascii="Arial" w:cs="Arial" w:eastAsia="Arial" w:hAnsi="Arial"/>
          <w:sz w:val="22"/>
          <w:szCs w:val="22"/>
        </w:rPr>
        <w:t xml:space="preserve">Biblioteca del Congreso Nacional de Chile. (2002). </w:t>
      </w:r>
      <w:r>
        <w:rPr>
          <w:rFonts w:ascii="Arial" w:cs="Arial" w:eastAsia="Arial" w:hAnsi="Arial"/>
          <w:i/>
          <w:iCs/>
          <w:sz w:val="22"/>
          <w:szCs w:val="22"/>
        </w:rPr>
        <w:t xml:space="preserve">Ley 19.799: Sobre documentos electrónicos, firma electrónica y servicios de certificación de dicha firma</w:t>
      </w:r>
      <w:r>
        <w:rPr>
          <w:rFonts w:ascii="Arial" w:cs="Arial" w:eastAsia="Arial" w:hAnsi="Arial"/>
          <w:sz w:val="22"/>
          <w:szCs w:val="22"/>
        </w:rPr>
        <w:t xml:space="preserve">. https://www.bcn.cl/leychile/navegar?idNorma=196640</w:t>
      </w:r>
    </w:p>
    <w:p>
      <w:pPr>
        <w:spacing w:after="120" w:line="260"/>
        <w:ind w:left="720" w:hanging="720"/>
      </w:pPr>
      <w:r>
        <w:rPr>
          <w:rFonts w:ascii="Arial" w:cs="Arial" w:eastAsia="Arial" w:hAnsi="Arial"/>
          <w:sz w:val="22"/>
          <w:szCs w:val="22"/>
        </w:rPr>
        <w:t xml:space="preserve">Biblioteca del Congreso Nacional de Chile. (2024). </w:t>
      </w:r>
      <w:r>
        <w:rPr>
          <w:rFonts w:ascii="Arial" w:cs="Arial" w:eastAsia="Arial" w:hAnsi="Arial"/>
          <w:i/>
          <w:iCs/>
          <w:sz w:val="22"/>
          <w:szCs w:val="22"/>
        </w:rPr>
        <w:t xml:space="preserve">Ley 21.719: Regula la protección y el tratamiento de los datos personales y crea la Agencia de Protección de Datos Personales</w:t>
      </w:r>
      <w:r>
        <w:rPr>
          <w:rFonts w:ascii="Arial" w:cs="Arial" w:eastAsia="Arial" w:hAnsi="Arial"/>
          <w:sz w:val="22"/>
          <w:szCs w:val="22"/>
        </w:rPr>
        <w:t xml:space="preserve">. https://www.bcn.cl/leychile</w:t>
      </w:r>
    </w:p>
    <w:p>
      <w:pPr>
        <w:spacing w:after="120" w:line="260"/>
        <w:ind w:left="720" w:hanging="720"/>
      </w:pPr>
      <w:r>
        <w:rPr>
          <w:rFonts w:ascii="Arial" w:cs="Arial" w:eastAsia="Arial" w:hAnsi="Arial"/>
          <w:sz w:val="22"/>
          <w:szCs w:val="22"/>
        </w:rPr>
        <w:t xml:space="preserve">GitHub. (2026). </w:t>
      </w:r>
      <w:r>
        <w:rPr>
          <w:rFonts w:ascii="Arial" w:cs="Arial" w:eastAsia="Arial" w:hAnsi="Arial"/>
          <w:i/>
          <w:iCs/>
          <w:sz w:val="22"/>
          <w:szCs w:val="22"/>
        </w:rPr>
        <w:t xml:space="preserve">GitHub Actions documentation</w:t>
      </w:r>
      <w:r>
        <w:rPr>
          <w:rFonts w:ascii="Arial" w:cs="Arial" w:eastAsia="Arial" w:hAnsi="Arial"/>
          <w:sz w:val="22"/>
          <w:szCs w:val="22"/>
        </w:rPr>
        <w:t xml:space="preserve">. https://docs.github.com/actions</w:t>
      </w:r>
    </w:p>
    <w:p>
      <w:pPr>
        <w:spacing w:after="120" w:line="260"/>
        <w:ind w:left="720" w:hanging="720"/>
      </w:pPr>
      <w:r>
        <w:rPr>
          <w:rFonts w:ascii="Arial" w:cs="Arial" w:eastAsia="Arial" w:hAnsi="Arial"/>
          <w:sz w:val="22"/>
          <w:szCs w:val="22"/>
        </w:rPr>
        <w:t xml:space="preserve">Google. (2024). </w:t>
      </w:r>
      <w:r>
        <w:rPr>
          <w:rFonts w:ascii="Arial" w:cs="Arial" w:eastAsia="Arial" w:hAnsi="Arial"/>
          <w:i/>
          <w:iCs/>
          <w:sz w:val="22"/>
          <w:szCs w:val="22"/>
        </w:rPr>
        <w:t xml:space="preserve">Web Vitals</w:t>
      </w:r>
      <w:r>
        <w:rPr>
          <w:rFonts w:ascii="Arial" w:cs="Arial" w:eastAsia="Arial" w:hAnsi="Arial"/>
          <w:sz w:val="22"/>
          <w:szCs w:val="22"/>
        </w:rPr>
        <w:t xml:space="preserve">. https://web.dev/articles/vitals</w:t>
      </w:r>
    </w:p>
    <w:p>
      <w:pPr>
        <w:spacing w:after="120" w:line="260"/>
        <w:ind w:left="720" w:hanging="720"/>
      </w:pPr>
      <w:r>
        <w:rPr>
          <w:rFonts w:ascii="Arial" w:cs="Arial" w:eastAsia="Arial" w:hAnsi="Arial"/>
          <w:sz w:val="22"/>
          <w:szCs w:val="22"/>
        </w:rPr>
        <w:t xml:space="preserve">International Organization for Standardization. (2022). </w:t>
      </w:r>
      <w:r>
        <w:rPr>
          <w:rFonts w:ascii="Arial" w:cs="Arial" w:eastAsia="Arial" w:hAnsi="Arial"/>
          <w:i/>
          <w:iCs/>
          <w:sz w:val="22"/>
          <w:szCs w:val="22"/>
        </w:rPr>
        <w:t xml:space="preserve">ISO/IEC 27001:2022 Information security, cybersecurity and privacy protection — Information security management systems — Requirements</w:t>
      </w:r>
      <w:r>
        <w:rPr>
          <w:rFonts w:ascii="Arial" w:cs="Arial" w:eastAsia="Arial" w:hAnsi="Arial"/>
          <w:sz w:val="22"/>
          <w:szCs w:val="22"/>
        </w:rPr>
        <w:t xml:space="preserve">. ISO.</w:t>
      </w:r>
    </w:p>
    <w:p>
      <w:pPr>
        <w:spacing w:after="120" w:line="260"/>
        <w:ind w:left="720" w:hanging="720"/>
      </w:pPr>
      <w:r>
        <w:rPr>
          <w:rFonts w:ascii="Arial" w:cs="Arial" w:eastAsia="Arial" w:hAnsi="Arial"/>
          <w:sz w:val="22"/>
          <w:szCs w:val="22"/>
        </w:rPr>
        <w:t xml:space="preserve">International Organization for Standardization. (2023). </w:t>
      </w:r>
      <w:r>
        <w:rPr>
          <w:rFonts w:ascii="Arial" w:cs="Arial" w:eastAsia="Arial" w:hAnsi="Arial"/>
          <w:i/>
          <w:iCs/>
          <w:sz w:val="22"/>
          <w:szCs w:val="22"/>
        </w:rPr>
        <w:t xml:space="preserve">ISO/IEC 25010:2023 Systems and software engineering — Systems and software Quality Requirements and Evaluation (SQuaRE) — Product quality model</w:t>
      </w:r>
      <w:r>
        <w:rPr>
          <w:rFonts w:ascii="Arial" w:cs="Arial" w:eastAsia="Arial" w:hAnsi="Arial"/>
          <w:sz w:val="22"/>
          <w:szCs w:val="22"/>
        </w:rPr>
        <w:t xml:space="preserve">. ISO.</w:t>
      </w:r>
    </w:p>
    <w:p>
      <w:pPr>
        <w:spacing w:after="120" w:line="260"/>
        <w:ind w:left="720" w:hanging="720"/>
      </w:pPr>
      <w:r>
        <w:rPr>
          <w:rFonts w:ascii="Arial" w:cs="Arial" w:eastAsia="Arial" w:hAnsi="Arial"/>
          <w:sz w:val="22"/>
          <w:szCs w:val="22"/>
        </w:rPr>
        <w:t xml:space="preserve">Anime.js. (2026). </w:t>
      </w:r>
      <w:r>
        <w:rPr>
          <w:rFonts w:ascii="Arial" w:cs="Arial" w:eastAsia="Arial" w:hAnsi="Arial"/>
          <w:i/>
          <w:iCs/>
          <w:sz w:val="22"/>
          <w:szCs w:val="22"/>
        </w:rPr>
        <w:t xml:space="preserve">Anime.js v4 documentation</w:t>
      </w:r>
      <w:r>
        <w:rPr>
          <w:rFonts w:ascii="Arial" w:cs="Arial" w:eastAsia="Arial" w:hAnsi="Arial"/>
          <w:sz w:val="22"/>
          <w:szCs w:val="22"/>
        </w:rPr>
        <w:t xml:space="preserve">. https://animejs.com/documentation</w:t>
      </w:r>
    </w:p>
    <w:p>
      <w:pPr>
        <w:spacing w:after="120" w:line="260"/>
        <w:ind w:left="720" w:hanging="720"/>
      </w:pPr>
      <w:r>
        <w:rPr>
          <w:rFonts w:ascii="Arial" w:cs="Arial" w:eastAsia="Arial" w:hAnsi="Arial"/>
          <w:sz w:val="22"/>
          <w:szCs w:val="22"/>
        </w:rPr>
        <w:t xml:space="preserve">Meta Open Source. (2026). </w:t>
      </w:r>
      <w:r>
        <w:rPr>
          <w:rFonts w:ascii="Arial" w:cs="Arial" w:eastAsia="Arial" w:hAnsi="Arial"/>
          <w:i/>
          <w:iCs/>
          <w:sz w:val="22"/>
          <w:szCs w:val="22"/>
        </w:rPr>
        <w:t xml:space="preserve">React documentation</w:t>
      </w:r>
      <w:r>
        <w:rPr>
          <w:rFonts w:ascii="Arial" w:cs="Arial" w:eastAsia="Arial" w:hAnsi="Arial"/>
          <w:sz w:val="22"/>
          <w:szCs w:val="22"/>
        </w:rPr>
        <w:t xml:space="preserve">. https://react.dev</w:t>
      </w:r>
    </w:p>
    <w:p>
      <w:pPr>
        <w:spacing w:after="120" w:line="260"/>
        <w:ind w:left="720" w:hanging="720"/>
      </w:pPr>
      <w:r>
        <w:rPr>
          <w:rFonts w:ascii="Arial" w:cs="Arial" w:eastAsia="Arial" w:hAnsi="Arial"/>
          <w:sz w:val="22"/>
          <w:szCs w:val="22"/>
        </w:rPr>
        <w:t xml:space="preserve">Motion. (2026). </w:t>
      </w:r>
      <w:r>
        <w:rPr>
          <w:rFonts w:ascii="Arial" w:cs="Arial" w:eastAsia="Arial" w:hAnsi="Arial"/>
          <w:i/>
          <w:iCs/>
          <w:sz w:val="22"/>
          <w:szCs w:val="22"/>
        </w:rPr>
        <w:t xml:space="preserve">Motion for React documentation</w:t>
      </w:r>
      <w:r>
        <w:rPr>
          <w:rFonts w:ascii="Arial" w:cs="Arial" w:eastAsia="Arial" w:hAnsi="Arial"/>
          <w:sz w:val="22"/>
          <w:szCs w:val="22"/>
        </w:rPr>
        <w:t xml:space="preserve">. https://motion.dev/docs/react</w:t>
      </w:r>
    </w:p>
    <w:p>
      <w:pPr>
        <w:spacing w:after="120" w:line="260"/>
        <w:ind w:left="720" w:hanging="720"/>
      </w:pPr>
      <w:r>
        <w:rPr>
          <w:rFonts w:ascii="Arial" w:cs="Arial" w:eastAsia="Arial" w:hAnsi="Arial"/>
          <w:sz w:val="22"/>
          <w:szCs w:val="22"/>
        </w:rPr>
        <w:t xml:space="preserve">OWASP Foundation. (2021). </w:t>
      </w:r>
      <w:r>
        <w:rPr>
          <w:rFonts w:ascii="Arial" w:cs="Arial" w:eastAsia="Arial" w:hAnsi="Arial"/>
          <w:i/>
          <w:iCs/>
          <w:sz w:val="22"/>
          <w:szCs w:val="22"/>
        </w:rPr>
        <w:t xml:space="preserve">OWASP Top 10: 2021</w:t>
      </w:r>
      <w:r>
        <w:rPr>
          <w:rFonts w:ascii="Arial" w:cs="Arial" w:eastAsia="Arial" w:hAnsi="Arial"/>
          <w:sz w:val="22"/>
          <w:szCs w:val="22"/>
        </w:rPr>
        <w:t xml:space="preserve">. https://owasp.org/Top10/</w:t>
      </w:r>
    </w:p>
    <w:p>
      <w:pPr>
        <w:spacing w:after="120" w:line="260"/>
        <w:ind w:left="720" w:hanging="720"/>
      </w:pPr>
      <w:r>
        <w:rPr>
          <w:rFonts w:ascii="Arial" w:cs="Arial" w:eastAsia="Arial" w:hAnsi="Arial"/>
          <w:sz w:val="22"/>
          <w:szCs w:val="22"/>
        </w:rPr>
        <w:t xml:space="preserve">PCI Security Standards Council. (2022). </w:t>
      </w:r>
      <w:r>
        <w:rPr>
          <w:rFonts w:ascii="Arial" w:cs="Arial" w:eastAsia="Arial" w:hAnsi="Arial"/>
          <w:i/>
          <w:iCs/>
          <w:sz w:val="22"/>
          <w:szCs w:val="22"/>
        </w:rPr>
        <w:t xml:space="preserve">Payment Card Industry Data Security Standard v4.0</w:t>
      </w:r>
      <w:r>
        <w:rPr>
          <w:rFonts w:ascii="Arial" w:cs="Arial" w:eastAsia="Arial" w:hAnsi="Arial"/>
          <w:sz w:val="22"/>
          <w:szCs w:val="22"/>
        </w:rPr>
        <w:t xml:space="preserve">. https://www.pcisecuritystandards.org</w:t>
      </w:r>
    </w:p>
    <w:p>
      <w:pPr>
        <w:spacing w:after="120" w:line="260"/>
        <w:ind w:left="720" w:hanging="720"/>
      </w:pPr>
      <w:r>
        <w:rPr>
          <w:rFonts w:ascii="Arial" w:cs="Arial" w:eastAsia="Arial" w:hAnsi="Arial"/>
          <w:sz w:val="22"/>
          <w:szCs w:val="22"/>
        </w:rPr>
        <w:t xml:space="preserve">PostgreSQL Global Development Group. (2026). </w:t>
      </w:r>
      <w:r>
        <w:rPr>
          <w:rFonts w:ascii="Arial" w:cs="Arial" w:eastAsia="Arial" w:hAnsi="Arial"/>
          <w:i/>
          <w:iCs/>
          <w:sz w:val="22"/>
          <w:szCs w:val="22"/>
        </w:rPr>
        <w:t xml:space="preserve">PostgreSQL documentation: Exclusion constraints and row security policies</w:t>
      </w:r>
      <w:r>
        <w:rPr>
          <w:rFonts w:ascii="Arial" w:cs="Arial" w:eastAsia="Arial" w:hAnsi="Arial"/>
          <w:sz w:val="22"/>
          <w:szCs w:val="22"/>
        </w:rPr>
        <w:t xml:space="preserve">. https://www.postgresql.org/docs/</w:t>
      </w:r>
    </w:p>
    <w:p>
      <w:pPr>
        <w:spacing w:after="120" w:line="260"/>
        <w:ind w:left="720" w:hanging="720"/>
      </w:pPr>
      <w:r>
        <w:rPr>
          <w:rFonts w:ascii="Arial" w:cs="Arial" w:eastAsia="Arial" w:hAnsi="Arial"/>
          <w:sz w:val="22"/>
          <w:szCs w:val="22"/>
        </w:rPr>
        <w:t xml:space="preserve">Pressman, R. S., &amp; Maxim, B. R. (2021). </w:t>
      </w:r>
      <w:r>
        <w:rPr>
          <w:rFonts w:ascii="Arial" w:cs="Arial" w:eastAsia="Arial" w:hAnsi="Arial"/>
          <w:i/>
          <w:iCs/>
          <w:sz w:val="22"/>
          <w:szCs w:val="22"/>
        </w:rPr>
        <w:t xml:space="preserve">Ingeniería del software: un enfoque práctico</w:t>
      </w:r>
      <w:r>
        <w:rPr>
          <w:rFonts w:ascii="Arial" w:cs="Arial" w:eastAsia="Arial" w:hAnsi="Arial"/>
          <w:sz w:val="22"/>
          <w:szCs w:val="22"/>
        </w:rPr>
        <w:t xml:space="preserve"> (9.ª ed.). McGraw-Hill.</w:t>
      </w:r>
    </w:p>
    <w:p>
      <w:pPr>
        <w:spacing w:after="120" w:line="260"/>
        <w:ind w:left="720" w:hanging="720"/>
      </w:pPr>
      <w:r>
        <w:rPr>
          <w:rFonts w:ascii="Arial" w:cs="Arial" w:eastAsia="Arial" w:hAnsi="Arial"/>
          <w:sz w:val="22"/>
          <w:szCs w:val="22"/>
        </w:rPr>
        <w:t xml:space="preserve">Project Management Institute. (2021). </w:t>
      </w:r>
      <w:r>
        <w:rPr>
          <w:rFonts w:ascii="Arial" w:cs="Arial" w:eastAsia="Arial" w:hAnsi="Arial"/>
          <w:i/>
          <w:iCs/>
          <w:sz w:val="22"/>
          <w:szCs w:val="22"/>
        </w:rPr>
        <w:t xml:space="preserve">Guía de los fundamentos para la dirección de proyectos (Guía del PMBOK)</w:t>
      </w:r>
      <w:r>
        <w:rPr>
          <w:rFonts w:ascii="Arial" w:cs="Arial" w:eastAsia="Arial" w:hAnsi="Arial"/>
          <w:sz w:val="22"/>
          <w:szCs w:val="22"/>
        </w:rPr>
        <w:t xml:space="preserve"> (7.ª ed.). PMI.</w:t>
      </w:r>
    </w:p>
    <w:p>
      <w:pPr>
        <w:spacing w:after="120" w:line="260"/>
        <w:ind w:left="720" w:hanging="720"/>
      </w:pPr>
      <w:r>
        <w:rPr>
          <w:rFonts w:ascii="Arial" w:cs="Arial" w:eastAsia="Arial" w:hAnsi="Arial"/>
          <w:sz w:val="22"/>
          <w:szCs w:val="22"/>
        </w:rPr>
        <w:t xml:space="preserve">Sommerville, I. (2016). </w:t>
      </w:r>
      <w:r>
        <w:rPr>
          <w:rFonts w:ascii="Arial" w:cs="Arial" w:eastAsia="Arial" w:hAnsi="Arial"/>
          <w:i/>
          <w:iCs/>
          <w:sz w:val="22"/>
          <w:szCs w:val="22"/>
        </w:rPr>
        <w:t xml:space="preserve">Software engineering</w:t>
      </w:r>
      <w:r>
        <w:rPr>
          <w:rFonts w:ascii="Arial" w:cs="Arial" w:eastAsia="Arial" w:hAnsi="Arial"/>
          <w:sz w:val="22"/>
          <w:szCs w:val="22"/>
        </w:rPr>
        <w:t xml:space="preserve"> (10th ed.). Pearson.</w:t>
      </w:r>
    </w:p>
    <w:p>
      <w:pPr>
        <w:spacing w:after="120" w:line="260"/>
        <w:ind w:left="720" w:hanging="720"/>
      </w:pPr>
      <w:r>
        <w:rPr>
          <w:rFonts w:ascii="Arial" w:cs="Arial" w:eastAsia="Arial" w:hAnsi="Arial"/>
          <w:sz w:val="22"/>
          <w:szCs w:val="22"/>
        </w:rPr>
        <w:t xml:space="preserve">Supabase. (2026). </w:t>
      </w:r>
      <w:r>
        <w:rPr>
          <w:rFonts w:ascii="Arial" w:cs="Arial" w:eastAsia="Arial" w:hAnsi="Arial"/>
          <w:i/>
          <w:iCs/>
          <w:sz w:val="22"/>
          <w:szCs w:val="22"/>
        </w:rPr>
        <w:t xml:space="preserve">Pricing &amp; fees</w:t>
      </w:r>
      <w:r>
        <w:rPr>
          <w:rFonts w:ascii="Arial" w:cs="Arial" w:eastAsia="Arial" w:hAnsi="Arial"/>
          <w:sz w:val="22"/>
          <w:szCs w:val="22"/>
        </w:rPr>
        <w:t xml:space="preserve">. https://supabase.com/pricing</w:t>
      </w:r>
    </w:p>
    <w:p>
      <w:pPr>
        <w:spacing w:after="120" w:line="260"/>
        <w:ind w:left="720" w:hanging="720"/>
      </w:pPr>
      <w:r>
        <w:rPr>
          <w:rFonts w:ascii="Arial" w:cs="Arial" w:eastAsia="Arial" w:hAnsi="Arial"/>
          <w:sz w:val="22"/>
          <w:szCs w:val="22"/>
        </w:rPr>
        <w:t xml:space="preserve">Supabase. (2026). </w:t>
      </w:r>
      <w:r>
        <w:rPr>
          <w:rFonts w:ascii="Arial" w:cs="Arial" w:eastAsia="Arial" w:hAnsi="Arial"/>
          <w:i/>
          <w:iCs/>
          <w:sz w:val="22"/>
          <w:szCs w:val="22"/>
        </w:rPr>
        <w:t xml:space="preserve">Row Level Security</w:t>
      </w:r>
      <w:r>
        <w:rPr>
          <w:rFonts w:ascii="Arial" w:cs="Arial" w:eastAsia="Arial" w:hAnsi="Arial"/>
          <w:sz w:val="22"/>
          <w:szCs w:val="22"/>
        </w:rPr>
        <w:t xml:space="preserve">. https://supabase.com/docs/guides/database/postgres/row-level-security</w:t>
      </w:r>
    </w:p>
    <w:p>
      <w:pPr>
        <w:spacing w:after="120" w:line="260"/>
        <w:ind w:left="720" w:hanging="720"/>
      </w:pPr>
      <w:r>
        <w:rPr>
          <w:rFonts w:ascii="Arial" w:cs="Arial" w:eastAsia="Arial" w:hAnsi="Arial"/>
          <w:sz w:val="22"/>
          <w:szCs w:val="22"/>
        </w:rPr>
        <w:t xml:space="preserve">Transbank. (2026). </w:t>
      </w:r>
      <w:r>
        <w:rPr>
          <w:rFonts w:ascii="Arial" w:cs="Arial" w:eastAsia="Arial" w:hAnsi="Arial"/>
          <w:i/>
          <w:iCs/>
          <w:sz w:val="22"/>
          <w:szCs w:val="22"/>
        </w:rPr>
        <w:t xml:space="preserve">Transbank Developers: Webpay Plus y Oneclick Mall</w:t>
      </w:r>
      <w:r>
        <w:rPr>
          <w:rFonts w:ascii="Arial" w:cs="Arial" w:eastAsia="Arial" w:hAnsi="Arial"/>
          <w:sz w:val="22"/>
          <w:szCs w:val="22"/>
        </w:rPr>
        <w:t xml:space="preserve">. https://www.transbankdevelopers.cl/documentacion/webpay-plus</w:t>
      </w:r>
    </w:p>
    <w:p>
      <w:pPr>
        <w:spacing w:after="120" w:line="260"/>
        <w:ind w:left="720" w:hanging="720"/>
      </w:pPr>
      <w:r>
        <w:rPr>
          <w:rFonts w:ascii="Arial" w:cs="Arial" w:eastAsia="Arial" w:hAnsi="Arial"/>
          <w:sz w:val="22"/>
          <w:szCs w:val="22"/>
        </w:rPr>
        <w:t xml:space="preserve">Transbank. (2026). </w:t>
      </w:r>
      <w:r>
        <w:rPr>
          <w:rFonts w:ascii="Arial" w:cs="Arial" w:eastAsia="Arial" w:hAnsi="Arial"/>
          <w:i/>
          <w:iCs/>
          <w:sz w:val="22"/>
          <w:szCs w:val="22"/>
        </w:rPr>
        <w:t xml:space="preserve">Webpay: tarifas y condiciones comerciales</w:t>
      </w:r>
      <w:r>
        <w:rPr>
          <w:rFonts w:ascii="Arial" w:cs="Arial" w:eastAsia="Arial" w:hAnsi="Arial"/>
          <w:sz w:val="22"/>
          <w:szCs w:val="22"/>
        </w:rPr>
        <w:t xml:space="preserve">. https://www.transbank.cl</w:t>
      </w:r>
    </w:p>
    <w:p>
      <w:pPr>
        <w:spacing w:after="120" w:line="260"/>
        <w:ind w:left="720" w:hanging="720"/>
      </w:pPr>
      <w:r>
        <w:rPr>
          <w:rFonts w:ascii="Arial" w:cs="Arial" w:eastAsia="Arial" w:hAnsi="Arial"/>
          <w:sz w:val="22"/>
          <w:szCs w:val="22"/>
        </w:rPr>
        <w:t xml:space="preserve">Vercel. (2026). </w:t>
      </w:r>
      <w:r>
        <w:rPr>
          <w:rFonts w:ascii="Arial" w:cs="Arial" w:eastAsia="Arial" w:hAnsi="Arial"/>
          <w:i/>
          <w:iCs/>
          <w:sz w:val="22"/>
          <w:szCs w:val="22"/>
        </w:rPr>
        <w:t xml:space="preserve">Pricing</w:t>
      </w:r>
      <w:r>
        <w:rPr>
          <w:rFonts w:ascii="Arial" w:cs="Arial" w:eastAsia="Arial" w:hAnsi="Arial"/>
          <w:sz w:val="22"/>
          <w:szCs w:val="22"/>
        </w:rPr>
        <w:t xml:space="preserve">. https://vercel.com/pricing</w:t>
      </w:r>
    </w:p>
    <w:p>
      <w:pPr>
        <w:spacing w:after="120" w:line="260"/>
        <w:ind w:left="720" w:hanging="720"/>
      </w:pPr>
      <w:r>
        <w:rPr>
          <w:rFonts w:ascii="Arial" w:cs="Arial" w:eastAsia="Arial" w:hAnsi="Arial"/>
          <w:sz w:val="22"/>
          <w:szCs w:val="22"/>
        </w:rPr>
        <w:t xml:space="preserve">Vercel. (2026). </w:t>
      </w:r>
      <w:r>
        <w:rPr>
          <w:rFonts w:ascii="Arial" w:cs="Arial" w:eastAsia="Arial" w:hAnsi="Arial"/>
          <w:i/>
          <w:iCs/>
          <w:sz w:val="22"/>
          <w:szCs w:val="22"/>
        </w:rPr>
        <w:t xml:space="preserve">Cron jobs</w:t>
      </w:r>
      <w:r>
        <w:rPr>
          <w:rFonts w:ascii="Arial" w:cs="Arial" w:eastAsia="Arial" w:hAnsi="Arial"/>
          <w:sz w:val="22"/>
          <w:szCs w:val="22"/>
        </w:rPr>
        <w:t xml:space="preserve">. https://vercel.com/docs/cron-jobs</w:t>
      </w:r>
    </w:p>
    <w:p>
      <w:pPr>
        <w:spacing w:after="120" w:line="260"/>
        <w:ind w:left="720" w:hanging="720"/>
      </w:pPr>
      <w:r>
        <w:rPr>
          <w:rFonts w:ascii="Arial" w:cs="Arial" w:eastAsia="Arial" w:hAnsi="Arial"/>
          <w:sz w:val="22"/>
          <w:szCs w:val="22"/>
        </w:rPr>
        <w:t xml:space="preserve">Vitest. (2026). </w:t>
      </w:r>
      <w:r>
        <w:rPr>
          <w:rFonts w:ascii="Arial" w:cs="Arial" w:eastAsia="Arial" w:hAnsi="Arial"/>
          <w:i/>
          <w:iCs/>
          <w:sz w:val="22"/>
          <w:szCs w:val="22"/>
        </w:rPr>
        <w:t xml:space="preserve">Vitest documentation</w:t>
      </w:r>
      <w:r>
        <w:rPr>
          <w:rFonts w:ascii="Arial" w:cs="Arial" w:eastAsia="Arial" w:hAnsi="Arial"/>
          <w:sz w:val="22"/>
          <w:szCs w:val="22"/>
        </w:rPr>
        <w:t xml:space="preserve">. https://vitest.dev</w:t>
      </w:r>
    </w:p>
    <w:p>
      <w:pPr>
        <w:spacing w:after="120" w:line="260"/>
        <w:ind w:left="720" w:hanging="720"/>
      </w:pPr>
      <w:r>
        <w:rPr>
          <w:rFonts w:ascii="Arial" w:cs="Arial" w:eastAsia="Arial" w:hAnsi="Arial"/>
          <w:sz w:val="22"/>
          <w:szCs w:val="22"/>
        </w:rPr>
        <w:t xml:space="preserve">World Wide Web Consortium. (2018). </w:t>
      </w:r>
      <w:r>
        <w:rPr>
          <w:rFonts w:ascii="Arial" w:cs="Arial" w:eastAsia="Arial" w:hAnsi="Arial"/>
          <w:i/>
          <w:iCs/>
          <w:sz w:val="22"/>
          <w:szCs w:val="22"/>
        </w:rPr>
        <w:t xml:space="preserve">Web Content Accessibility Guidelines (WCAG) 2.1</w:t>
      </w:r>
      <w:r>
        <w:rPr>
          <w:rFonts w:ascii="Arial" w:cs="Arial" w:eastAsia="Arial" w:hAnsi="Arial"/>
          <w:sz w:val="22"/>
          <w:szCs w:val="22"/>
        </w:rPr>
        <w:t xml:space="preserve">. https://www.w3.org/TR/WCAG21/</w:t>
      </w:r>
    </w:p>
    <w:p>
      <w:r>
        <w:br w:type="page"/>
      </w:r>
    </w:p>
    <w:p>
      <w:pPr>
        <w:pStyle w:val="Heading1"/>
        <w:spacing w:after="160" w:before="240"/>
      </w:pPr>
      <w:r>
        <w:rPr>
          <w:rFonts w:ascii="Arial" w:cs="Arial" w:eastAsia="Arial" w:hAnsi="Arial"/>
          <w:b/>
          <w:bCs/>
          <w:color w:val="1F3864"/>
          <w:sz w:val="28"/>
          <w:szCs w:val="28"/>
        </w:rPr>
        <w:t xml:space="preserve">Anexo A. Capturas del prototipo</w:t>
      </w:r>
    </w:p>
    <w:p>
      <w:pPr>
        <w:spacing w:after="140" w:line="260"/>
        <w:jc w:val="both"/>
      </w:pPr>
      <w:r>
        <w:rPr>
          <w:rFonts w:ascii="Arial" w:cs="Arial" w:eastAsia="Arial" w:hAnsi="Arial"/>
          <w:sz w:val="22"/>
          <w:szCs w:val="22"/>
        </w:rPr>
        <w:t xml:space="preserve">Las siguientes capturas muestran las vistas principales del prototipo en su versión actual, tomadas con un navegador automatizado sobre datos de demostración. El Manual de usuario contiene el detalle paso a paso de cada una.</w:t>
      </w:r>
    </w:p>
    <w:p>
      <w:pPr>
        <w:keepNext/>
        <w:spacing w:after="0" w:before="160"/>
      </w:pPr>
      <w:r>
        <w:rPr>
          <w:rFonts w:ascii="Arial" w:cs="Arial" w:eastAsia="Arial" w:hAnsi="Arial"/>
          <w:b/>
          <w:bCs/>
          <w:sz w:val="20"/>
          <w:szCs w:val="20"/>
        </w:rPr>
        <w:t xml:space="preserve">Figura 7</w:t>
      </w:r>
    </w:p>
    <w:p>
      <w:pPr>
        <w:keepNext/>
        <w:spacing w:after="80"/>
      </w:pPr>
      <w:r>
        <w:rPr>
          <w:rFonts w:ascii="Arial" w:cs="Arial" w:eastAsia="Arial" w:hAnsi="Arial"/>
          <w:i/>
          <w:iCs/>
          <w:sz w:val="20"/>
          <w:szCs w:val="20"/>
        </w:rPr>
        <w:t xml:space="preserve">Página de inicio con portada de fotografías y logotipo</w:t>
      </w:r>
    </w:p>
    <w:p>
      <w:pPr>
        <w:keepNext/>
        <w:jc w:val="center"/>
      </w:pPr>
      <w:r>
        <w:drawing>
          <wp:inline distT="0" distB="0" distL="0" distR="0">
            <wp:extent cx="5334000" cy="3333750"/>
            <wp:effectExtent t="0" r="0" b="0" l="0"/>
            <wp:docPr id="1" name="pub-home.png" descr="Página de inicio con portada de fotografías y logotipo" title="Página de inicio con portada de fotografías y logo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pic:spPr>
                </pic:pic>
              </a:graphicData>
            </a:graphic>
          </wp:inline>
        </w:drawing>
      </w:r>
    </w:p>
    <w:p>
      <w:pPr>
        <w:spacing w:after="180" w:before="60"/>
      </w:pPr>
      <w:r>
        <w:rPr>
          <w:rFonts w:ascii="Arial" w:cs="Arial" w:eastAsia="Arial" w:hAnsi="Arial"/>
          <w:i/>
          <w:iCs/>
          <w:sz w:val="18"/>
          <w:szCs w:val="18"/>
        </w:rPr>
        <w:t xml:space="preserve">Nota. </w:t>
      </w:r>
      <w:r>
        <w:rPr>
          <w:rFonts w:ascii="Arial" w:cs="Arial" w:eastAsia="Arial" w:hAnsi="Arial"/>
          <w:sz w:val="18"/>
          <w:szCs w:val="18"/>
        </w:rPr>
        <w:t xml:space="preserve">Captura del prototipo Spotly con datos de demostración.</w:t>
      </w:r>
    </w:p>
    <w:p>
      <w:pPr>
        <w:keepNext/>
        <w:spacing w:after="0" w:before="160"/>
      </w:pPr>
      <w:r>
        <w:rPr>
          <w:rFonts w:ascii="Arial" w:cs="Arial" w:eastAsia="Arial" w:hAnsi="Arial"/>
          <w:b/>
          <w:bCs/>
          <w:sz w:val="20"/>
          <w:szCs w:val="20"/>
        </w:rPr>
        <w:t xml:space="preserve">Figura 8</w:t>
      </w:r>
    </w:p>
    <w:p>
      <w:pPr>
        <w:keepNext/>
        <w:spacing w:after="80"/>
      </w:pPr>
      <w:r>
        <w:rPr>
          <w:rFonts w:ascii="Arial" w:cs="Arial" w:eastAsia="Arial" w:hAnsi="Arial"/>
          <w:i/>
          <w:iCs/>
          <w:sz w:val="20"/>
          <w:szCs w:val="20"/>
        </w:rPr>
        <w:t xml:space="preserve">Búsqueda de espacios con filtros</w:t>
      </w:r>
    </w:p>
    <w:p>
      <w:pPr>
        <w:keepNext/>
        <w:jc w:val="center"/>
      </w:pPr>
      <w:r>
        <w:drawing>
          <wp:inline distT="0" distB="0" distL="0" distR="0">
            <wp:extent cx="5334000" cy="3333750"/>
            <wp:effectExtent t="0" r="0" b="0" l="0"/>
            <wp:docPr id="1" name="pub-catalogo.png" descr="Búsqueda de espacios con filtros" title="Búsqueda de espacios con fil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33750"/>
                    </a:xfrm>
                    <a:prstGeom prst="rect">
                      <a:avLst/>
                    </a:prstGeom>
                  </pic:spPr>
                </pic:pic>
              </a:graphicData>
            </a:graphic>
          </wp:inline>
        </w:drawing>
      </w:r>
    </w:p>
    <w:p>
      <w:pPr>
        <w:spacing w:after="180" w:before="60"/>
      </w:pPr>
      <w:r>
        <w:rPr>
          <w:rFonts w:ascii="Arial" w:cs="Arial" w:eastAsia="Arial" w:hAnsi="Arial"/>
          <w:i/>
          <w:iCs/>
          <w:sz w:val="18"/>
          <w:szCs w:val="18"/>
        </w:rPr>
        <w:t xml:space="preserve">Nota. </w:t>
      </w:r>
      <w:r>
        <w:rPr>
          <w:rFonts w:ascii="Arial" w:cs="Arial" w:eastAsia="Arial" w:hAnsi="Arial"/>
          <w:sz w:val="18"/>
          <w:szCs w:val="18"/>
        </w:rPr>
        <w:t xml:space="preserve">Captura del prototipo Spotly con datos de demostración.</w:t>
      </w:r>
    </w:p>
    <w:p>
      <w:pPr>
        <w:keepNext/>
        <w:spacing w:after="0" w:before="160"/>
      </w:pPr>
      <w:r>
        <w:rPr>
          <w:rFonts w:ascii="Arial" w:cs="Arial" w:eastAsia="Arial" w:hAnsi="Arial"/>
          <w:b/>
          <w:bCs/>
          <w:sz w:val="20"/>
          <w:szCs w:val="20"/>
        </w:rPr>
        <w:t xml:space="preserve">Figura 9</w:t>
      </w:r>
    </w:p>
    <w:p>
      <w:pPr>
        <w:keepNext/>
        <w:spacing w:after="80"/>
      </w:pPr>
      <w:r>
        <w:rPr>
          <w:rFonts w:ascii="Arial" w:cs="Arial" w:eastAsia="Arial" w:hAnsi="Arial"/>
          <w:i/>
          <w:iCs/>
          <w:sz w:val="20"/>
          <w:szCs w:val="20"/>
        </w:rPr>
        <w:t xml:space="preserve">Detalle del espacio con galería y panel de reserva</w:t>
      </w:r>
    </w:p>
    <w:p>
      <w:pPr>
        <w:keepNext/>
        <w:jc w:val="center"/>
      </w:pPr>
      <w:r>
        <w:drawing>
          <wp:inline distT="0" distB="0" distL="0" distR="0">
            <wp:extent cx="5334000" cy="3333750"/>
            <wp:effectExtent t="0" r="0" b="0" l="0"/>
            <wp:docPr id="1" name="ten-detalle.png" descr="Detalle del espacio con galería y panel de reserva" title="Detalle del espacio con galería y panel de reser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pPr>
        <w:spacing w:after="180" w:before="60"/>
      </w:pPr>
      <w:r>
        <w:rPr>
          <w:rFonts w:ascii="Arial" w:cs="Arial" w:eastAsia="Arial" w:hAnsi="Arial"/>
          <w:i/>
          <w:iCs/>
          <w:sz w:val="18"/>
          <w:szCs w:val="18"/>
        </w:rPr>
        <w:t xml:space="preserve">Nota. </w:t>
      </w:r>
      <w:r>
        <w:rPr>
          <w:rFonts w:ascii="Arial" w:cs="Arial" w:eastAsia="Arial" w:hAnsi="Arial"/>
          <w:sz w:val="18"/>
          <w:szCs w:val="18"/>
        </w:rPr>
        <w:t xml:space="preserve">Captura del prototipo Spotly con datos de demostración.</w:t>
      </w:r>
    </w:p>
    <w:p>
      <w:pPr>
        <w:keepNext/>
        <w:spacing w:after="0" w:before="160"/>
      </w:pPr>
      <w:r>
        <w:rPr>
          <w:rFonts w:ascii="Arial" w:cs="Arial" w:eastAsia="Arial" w:hAnsi="Arial"/>
          <w:b/>
          <w:bCs/>
          <w:sz w:val="20"/>
          <w:szCs w:val="20"/>
        </w:rPr>
        <w:t xml:space="preserve">Figura 10</w:t>
      </w:r>
    </w:p>
    <w:p>
      <w:pPr>
        <w:keepNext/>
        <w:spacing w:after="80"/>
      </w:pPr>
      <w:r>
        <w:rPr>
          <w:rFonts w:ascii="Arial" w:cs="Arial" w:eastAsia="Arial" w:hAnsi="Arial"/>
          <w:i/>
          <w:iCs/>
          <w:sz w:val="20"/>
          <w:szCs w:val="20"/>
        </w:rPr>
        <w:t xml:space="preserve">Contrato de arrendamiento y firma electrónica</w:t>
      </w:r>
    </w:p>
    <w:p>
      <w:pPr>
        <w:keepNext/>
        <w:jc w:val="center"/>
      </w:pPr>
      <w:r>
        <w:drawing>
          <wp:inline distT="0" distB="0" distL="0" distR="0">
            <wp:extent cx="3619500" cy="4438650"/>
            <wp:effectExtent t="0" r="0" b="0" l="0"/>
            <wp:docPr id="1" name="ten-firma-c.png" descr="Contrato de arrendamiento y firma electrónica" title="Contrato de arrendamiento y firma electró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19500" cy="4438650"/>
                    </a:xfrm>
                    <a:prstGeom prst="rect">
                      <a:avLst/>
                    </a:prstGeom>
                  </pic:spPr>
                </pic:pic>
              </a:graphicData>
            </a:graphic>
          </wp:inline>
        </w:drawing>
      </w:r>
    </w:p>
    <w:p>
      <w:pPr>
        <w:spacing w:after="180" w:before="60"/>
      </w:pPr>
      <w:r>
        <w:rPr>
          <w:rFonts w:ascii="Arial" w:cs="Arial" w:eastAsia="Arial" w:hAnsi="Arial"/>
          <w:i/>
          <w:iCs/>
          <w:sz w:val="18"/>
          <w:szCs w:val="18"/>
        </w:rPr>
        <w:t xml:space="preserve">Nota. </w:t>
      </w:r>
      <w:r>
        <w:rPr>
          <w:rFonts w:ascii="Arial" w:cs="Arial" w:eastAsia="Arial" w:hAnsi="Arial"/>
          <w:sz w:val="18"/>
          <w:szCs w:val="18"/>
        </w:rPr>
        <w:t xml:space="preserve">Captura del prototipo Spotly con datos de demostración.</w:t>
      </w:r>
    </w:p>
    <w:p>
      <w:pPr>
        <w:keepNext/>
        <w:spacing w:after="0" w:before="160"/>
      </w:pPr>
      <w:r>
        <w:rPr>
          <w:rFonts w:ascii="Arial" w:cs="Arial" w:eastAsia="Arial" w:hAnsi="Arial"/>
          <w:b/>
          <w:bCs/>
          <w:sz w:val="20"/>
          <w:szCs w:val="20"/>
        </w:rPr>
        <w:t xml:space="preserve">Figura 11</w:t>
      </w:r>
    </w:p>
    <w:p>
      <w:pPr>
        <w:keepNext/>
        <w:spacing w:after="80"/>
      </w:pPr>
      <w:r>
        <w:rPr>
          <w:rFonts w:ascii="Arial" w:cs="Arial" w:eastAsia="Arial" w:hAnsi="Arial"/>
          <w:i/>
          <w:iCs/>
          <w:sz w:val="20"/>
          <w:szCs w:val="20"/>
        </w:rPr>
        <w:t xml:space="preserve">Selección del medio de pago (billetera o Webpay Plus)</w:t>
      </w:r>
    </w:p>
    <w:p>
      <w:pPr>
        <w:keepNext/>
        <w:jc w:val="center"/>
      </w:pPr>
      <w:r>
        <w:drawing>
          <wp:inline distT="0" distB="0" distL="0" distR="0">
            <wp:extent cx="3619500" cy="4438650"/>
            <wp:effectExtent t="0" r="0" b="0" l="0"/>
            <wp:docPr id="1" name="ten-pago-c.png" descr="Selección del medio de pago (billetera o Webpay Plus)" title="Selección del medio de pago (billetera o Webpay P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19500" cy="4438650"/>
                    </a:xfrm>
                    <a:prstGeom prst="rect">
                      <a:avLst/>
                    </a:prstGeom>
                  </pic:spPr>
                </pic:pic>
              </a:graphicData>
            </a:graphic>
          </wp:inline>
        </w:drawing>
      </w:r>
    </w:p>
    <w:p>
      <w:pPr>
        <w:spacing w:after="180" w:before="60"/>
      </w:pPr>
      <w:r>
        <w:rPr>
          <w:rFonts w:ascii="Arial" w:cs="Arial" w:eastAsia="Arial" w:hAnsi="Arial"/>
          <w:i/>
          <w:iCs/>
          <w:sz w:val="18"/>
          <w:szCs w:val="18"/>
        </w:rPr>
        <w:t xml:space="preserve">Nota. </w:t>
      </w:r>
      <w:r>
        <w:rPr>
          <w:rFonts w:ascii="Arial" w:cs="Arial" w:eastAsia="Arial" w:hAnsi="Arial"/>
          <w:sz w:val="18"/>
          <w:szCs w:val="18"/>
        </w:rPr>
        <w:t xml:space="preserve">Captura del prototipo Spotly con datos de demostración.</w:t>
      </w:r>
    </w:p>
    <w:p>
      <w:pPr>
        <w:keepNext/>
        <w:spacing w:after="0" w:before="160"/>
      </w:pPr>
      <w:r>
        <w:rPr>
          <w:rFonts w:ascii="Arial" w:cs="Arial" w:eastAsia="Arial" w:hAnsi="Arial"/>
          <w:b/>
          <w:bCs/>
          <w:sz w:val="20"/>
          <w:szCs w:val="20"/>
        </w:rPr>
        <w:t xml:space="preserve">Figura 12</w:t>
      </w:r>
    </w:p>
    <w:p>
      <w:pPr>
        <w:keepNext/>
        <w:spacing w:after="80"/>
      </w:pPr>
      <w:r>
        <w:rPr>
          <w:rFonts w:ascii="Arial" w:cs="Arial" w:eastAsia="Arial" w:hAnsi="Arial"/>
          <w:i/>
          <w:iCs/>
          <w:sz w:val="20"/>
          <w:szCs w:val="20"/>
        </w:rPr>
        <w:t xml:space="preserve">Pantalla de progreso: verificando y realizando la reserva</w:t>
      </w:r>
    </w:p>
    <w:p>
      <w:pPr>
        <w:keepNext/>
        <w:jc w:val="center"/>
      </w:pPr>
      <w:r>
        <w:drawing>
          <wp:inline distT="0" distB="0" distL="0" distR="0">
            <wp:extent cx="3619500" cy="3695700"/>
            <wp:effectExtent t="0" r="0" b="0" l="0"/>
            <wp:docPr id="1" name="ten-progreso-c.png" descr="Pantalla de progreso: verificando y realizando la reserva" title="Pantalla de progreso: verificando y realizando la reser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19500" cy="3695700"/>
                    </a:xfrm>
                    <a:prstGeom prst="rect">
                      <a:avLst/>
                    </a:prstGeom>
                  </pic:spPr>
                </pic:pic>
              </a:graphicData>
            </a:graphic>
          </wp:inline>
        </w:drawing>
      </w:r>
    </w:p>
    <w:p>
      <w:pPr>
        <w:spacing w:after="180" w:before="60"/>
      </w:pPr>
      <w:r>
        <w:rPr>
          <w:rFonts w:ascii="Arial" w:cs="Arial" w:eastAsia="Arial" w:hAnsi="Arial"/>
          <w:i/>
          <w:iCs/>
          <w:sz w:val="18"/>
          <w:szCs w:val="18"/>
        </w:rPr>
        <w:t xml:space="preserve">Nota. </w:t>
      </w:r>
      <w:r>
        <w:rPr>
          <w:rFonts w:ascii="Arial" w:cs="Arial" w:eastAsia="Arial" w:hAnsi="Arial"/>
          <w:sz w:val="18"/>
          <w:szCs w:val="18"/>
        </w:rPr>
        <w:t xml:space="preserve">Captura del prototipo Spotly con datos de demostración.</w:t>
      </w:r>
    </w:p>
    <w:p>
      <w:pPr>
        <w:keepNext/>
        <w:spacing w:after="0" w:before="160"/>
      </w:pPr>
      <w:r>
        <w:rPr>
          <w:rFonts w:ascii="Arial" w:cs="Arial" w:eastAsia="Arial" w:hAnsi="Arial"/>
          <w:b/>
          <w:bCs/>
          <w:sz w:val="20"/>
          <w:szCs w:val="20"/>
        </w:rPr>
        <w:t xml:space="preserve">Figura 13</w:t>
      </w:r>
    </w:p>
    <w:p>
      <w:pPr>
        <w:keepNext/>
        <w:spacing w:after="80"/>
      </w:pPr>
      <w:r>
        <w:rPr>
          <w:rFonts w:ascii="Arial" w:cs="Arial" w:eastAsia="Arial" w:hAnsi="Arial"/>
          <w:i/>
          <w:iCs/>
          <w:sz w:val="20"/>
          <w:szCs w:val="20"/>
        </w:rPr>
        <w:t xml:space="preserve">Resultado de la reserva</w:t>
      </w:r>
    </w:p>
    <w:p>
      <w:pPr>
        <w:keepNext/>
        <w:jc w:val="center"/>
      </w:pPr>
      <w:r>
        <w:drawing>
          <wp:inline distT="0" distB="0" distL="0" distR="0">
            <wp:extent cx="3619500" cy="3276600"/>
            <wp:effectExtent t="0" r="0" b="0" l="0"/>
            <wp:docPr id="1" name="ten-resultado-c.png" descr="Resultado de la reserva" title="Resultado de la reser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19500" cy="3276600"/>
                    </a:xfrm>
                    <a:prstGeom prst="rect">
                      <a:avLst/>
                    </a:prstGeom>
                  </pic:spPr>
                </pic:pic>
              </a:graphicData>
            </a:graphic>
          </wp:inline>
        </w:drawing>
      </w:r>
    </w:p>
    <w:p>
      <w:pPr>
        <w:spacing w:after="180" w:before="60"/>
      </w:pPr>
      <w:r>
        <w:rPr>
          <w:rFonts w:ascii="Arial" w:cs="Arial" w:eastAsia="Arial" w:hAnsi="Arial"/>
          <w:i/>
          <w:iCs/>
          <w:sz w:val="18"/>
          <w:szCs w:val="18"/>
        </w:rPr>
        <w:t xml:space="preserve">Nota. </w:t>
      </w:r>
      <w:r>
        <w:rPr>
          <w:rFonts w:ascii="Arial" w:cs="Arial" w:eastAsia="Arial" w:hAnsi="Arial"/>
          <w:sz w:val="18"/>
          <w:szCs w:val="18"/>
        </w:rPr>
        <w:t xml:space="preserve">Captura del prototipo Spotly con datos de demostración.</w:t>
      </w:r>
    </w:p>
    <w:p>
      <w:pPr>
        <w:keepNext/>
        <w:spacing w:after="0" w:before="160"/>
      </w:pPr>
      <w:r>
        <w:rPr>
          <w:rFonts w:ascii="Arial" w:cs="Arial" w:eastAsia="Arial" w:hAnsi="Arial"/>
          <w:b/>
          <w:bCs/>
          <w:sz w:val="20"/>
          <w:szCs w:val="20"/>
        </w:rPr>
        <w:t xml:space="preserve">Figura 14</w:t>
      </w:r>
    </w:p>
    <w:p>
      <w:pPr>
        <w:keepNext/>
        <w:spacing w:after="80"/>
      </w:pPr>
      <w:r>
        <w:rPr>
          <w:rFonts w:ascii="Arial" w:cs="Arial" w:eastAsia="Arial" w:hAnsi="Arial"/>
          <w:i/>
          <w:iCs/>
          <w:sz w:val="20"/>
          <w:szCs w:val="20"/>
        </w:rPr>
        <w:t xml:space="preserve">Mis reservas: historial de canceladas separado por quién canceló</w:t>
      </w:r>
    </w:p>
    <w:p>
      <w:pPr>
        <w:keepNext/>
        <w:jc w:val="center"/>
      </w:pPr>
      <w:r>
        <w:drawing>
          <wp:inline distT="0" distB="0" distL="0" distR="0">
            <wp:extent cx="5334000" cy="3333750"/>
            <wp:effectExtent t="0" r="0" b="0" l="0"/>
            <wp:docPr id="1" name="ten-historial.png" descr="Mis reservas: historial de canceladas separado por quién canceló" title="Mis reservas: historial de canceladas separado por quién cancel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333750"/>
                    </a:xfrm>
                    <a:prstGeom prst="rect">
                      <a:avLst/>
                    </a:prstGeom>
                  </pic:spPr>
                </pic:pic>
              </a:graphicData>
            </a:graphic>
          </wp:inline>
        </w:drawing>
      </w:r>
    </w:p>
    <w:p>
      <w:pPr>
        <w:spacing w:after="180" w:before="60"/>
      </w:pPr>
      <w:r>
        <w:rPr>
          <w:rFonts w:ascii="Arial" w:cs="Arial" w:eastAsia="Arial" w:hAnsi="Arial"/>
          <w:i/>
          <w:iCs/>
          <w:sz w:val="18"/>
          <w:szCs w:val="18"/>
        </w:rPr>
        <w:t xml:space="preserve">Nota. </w:t>
      </w:r>
      <w:r>
        <w:rPr>
          <w:rFonts w:ascii="Arial" w:cs="Arial" w:eastAsia="Arial" w:hAnsi="Arial"/>
          <w:sz w:val="18"/>
          <w:szCs w:val="18"/>
        </w:rPr>
        <w:t xml:space="preserve">Captura del prototipo Spotly con datos de demostración.</w:t>
      </w:r>
    </w:p>
    <w:p>
      <w:pPr>
        <w:keepNext/>
        <w:spacing w:after="0" w:before="160"/>
      </w:pPr>
      <w:r>
        <w:rPr>
          <w:rFonts w:ascii="Arial" w:cs="Arial" w:eastAsia="Arial" w:hAnsi="Arial"/>
          <w:b/>
          <w:bCs/>
          <w:sz w:val="20"/>
          <w:szCs w:val="20"/>
        </w:rPr>
        <w:t xml:space="preserve">Figura 15</w:t>
      </w:r>
    </w:p>
    <w:p>
      <w:pPr>
        <w:keepNext/>
        <w:spacing w:after="80"/>
      </w:pPr>
      <w:r>
        <w:rPr>
          <w:rFonts w:ascii="Arial" w:cs="Arial" w:eastAsia="Arial" w:hAnsi="Arial"/>
          <w:i/>
          <w:iCs/>
          <w:sz w:val="20"/>
          <w:szCs w:val="20"/>
        </w:rPr>
        <w:t xml:space="preserve">Billetera de tarjetas (Transbank Oneclick)</w:t>
      </w:r>
    </w:p>
    <w:p>
      <w:pPr>
        <w:keepNext/>
        <w:jc w:val="center"/>
      </w:pPr>
      <w:r>
        <w:drawing>
          <wp:inline distT="0" distB="0" distL="0" distR="0">
            <wp:extent cx="5334000" cy="3333750"/>
            <wp:effectExtent t="0" r="0" b="0" l="0"/>
            <wp:docPr id="1" name="ten-billetera.png" descr="Billetera de tarjetas (Transbank Oneclick)" title="Billetera de tarjetas (Transbank Onecl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333750"/>
                    </a:xfrm>
                    <a:prstGeom prst="rect">
                      <a:avLst/>
                    </a:prstGeom>
                  </pic:spPr>
                </pic:pic>
              </a:graphicData>
            </a:graphic>
          </wp:inline>
        </w:drawing>
      </w:r>
    </w:p>
    <w:p>
      <w:pPr>
        <w:spacing w:after="180" w:before="60"/>
      </w:pPr>
      <w:r>
        <w:rPr>
          <w:rFonts w:ascii="Arial" w:cs="Arial" w:eastAsia="Arial" w:hAnsi="Arial"/>
          <w:i/>
          <w:iCs/>
          <w:sz w:val="18"/>
          <w:szCs w:val="18"/>
        </w:rPr>
        <w:t xml:space="preserve">Nota. </w:t>
      </w:r>
      <w:r>
        <w:rPr>
          <w:rFonts w:ascii="Arial" w:cs="Arial" w:eastAsia="Arial" w:hAnsi="Arial"/>
          <w:sz w:val="18"/>
          <w:szCs w:val="18"/>
        </w:rPr>
        <w:t xml:space="preserve">Captura del prototipo Spotly con datos de demostración.</w:t>
      </w:r>
    </w:p>
    <w:p>
      <w:pPr>
        <w:keepNext/>
        <w:spacing w:after="0" w:before="160"/>
      </w:pPr>
      <w:r>
        <w:rPr>
          <w:rFonts w:ascii="Arial" w:cs="Arial" w:eastAsia="Arial" w:hAnsi="Arial"/>
          <w:b/>
          <w:bCs/>
          <w:sz w:val="20"/>
          <w:szCs w:val="20"/>
        </w:rPr>
        <w:t xml:space="preserve">Figura 16</w:t>
      </w:r>
    </w:p>
    <w:p>
      <w:pPr>
        <w:keepNext/>
        <w:spacing w:after="80"/>
      </w:pPr>
      <w:r>
        <w:rPr>
          <w:rFonts w:ascii="Arial" w:cs="Arial" w:eastAsia="Arial" w:hAnsi="Arial"/>
          <w:i/>
          <w:iCs/>
          <w:sz w:val="20"/>
          <w:szCs w:val="20"/>
        </w:rPr>
        <w:t xml:space="preserve">Panel del propietario con vista por semana</w:t>
      </w:r>
    </w:p>
    <w:p>
      <w:pPr>
        <w:keepNext/>
        <w:jc w:val="center"/>
      </w:pPr>
      <w:r>
        <w:drawing>
          <wp:inline distT="0" distB="0" distL="0" distR="0">
            <wp:extent cx="5334000" cy="3333750"/>
            <wp:effectExtent t="0" r="0" b="0" l="0"/>
            <wp:docPr id="1" name="own-periodo.png" descr="Panel del propietario con vista por semana" title="Panel del propietario con vista por sem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333750"/>
                    </a:xfrm>
                    <a:prstGeom prst="rect">
                      <a:avLst/>
                    </a:prstGeom>
                  </pic:spPr>
                </pic:pic>
              </a:graphicData>
            </a:graphic>
          </wp:inline>
        </w:drawing>
      </w:r>
    </w:p>
    <w:p>
      <w:pPr>
        <w:spacing w:after="180" w:before="60"/>
      </w:pPr>
      <w:r>
        <w:rPr>
          <w:rFonts w:ascii="Arial" w:cs="Arial" w:eastAsia="Arial" w:hAnsi="Arial"/>
          <w:i/>
          <w:iCs/>
          <w:sz w:val="18"/>
          <w:szCs w:val="18"/>
        </w:rPr>
        <w:t xml:space="preserve">Nota. </w:t>
      </w:r>
      <w:r>
        <w:rPr>
          <w:rFonts w:ascii="Arial" w:cs="Arial" w:eastAsia="Arial" w:hAnsi="Arial"/>
          <w:sz w:val="18"/>
          <w:szCs w:val="18"/>
        </w:rPr>
        <w:t xml:space="preserve">Captura del prototipo Spotly con datos de demostración.</w:t>
      </w:r>
    </w:p>
    <w:p>
      <w:pPr>
        <w:keepNext/>
        <w:spacing w:after="0" w:before="160"/>
      </w:pPr>
      <w:r>
        <w:rPr>
          <w:rFonts w:ascii="Arial" w:cs="Arial" w:eastAsia="Arial" w:hAnsi="Arial"/>
          <w:b/>
          <w:bCs/>
          <w:sz w:val="20"/>
          <w:szCs w:val="20"/>
        </w:rPr>
        <w:t xml:space="preserve">Figura 17</w:t>
      </w:r>
    </w:p>
    <w:p>
      <w:pPr>
        <w:keepNext/>
        <w:spacing w:after="80"/>
      </w:pPr>
      <w:r>
        <w:rPr>
          <w:rFonts w:ascii="Arial" w:cs="Arial" w:eastAsia="Arial" w:hAnsi="Arial"/>
          <w:i/>
          <w:iCs/>
          <w:sz w:val="20"/>
          <w:szCs w:val="20"/>
        </w:rPr>
        <w:t xml:space="preserve">Cancelación de una reserva por el propietario</w:t>
      </w:r>
    </w:p>
    <w:p>
      <w:pPr>
        <w:keepNext/>
        <w:jc w:val="center"/>
      </w:pPr>
      <w:r>
        <w:drawing>
          <wp:inline distT="0" distB="0" distL="0" distR="0">
            <wp:extent cx="3619500" cy="2952750"/>
            <wp:effectExtent t="0" r="0" b="0" l="0"/>
            <wp:docPr id="1" name="own-cancelar-c.png" descr="Cancelación de una reserva por el propietario" title="Cancelación de una reserva por el propie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619500" cy="2952750"/>
                    </a:xfrm>
                    <a:prstGeom prst="rect">
                      <a:avLst/>
                    </a:prstGeom>
                  </pic:spPr>
                </pic:pic>
              </a:graphicData>
            </a:graphic>
          </wp:inline>
        </w:drawing>
      </w:r>
    </w:p>
    <w:p>
      <w:pPr>
        <w:spacing w:after="180" w:before="60"/>
      </w:pPr>
      <w:r>
        <w:rPr>
          <w:rFonts w:ascii="Arial" w:cs="Arial" w:eastAsia="Arial" w:hAnsi="Arial"/>
          <w:i/>
          <w:iCs/>
          <w:sz w:val="18"/>
          <w:szCs w:val="18"/>
        </w:rPr>
        <w:t xml:space="preserve">Nota. </w:t>
      </w:r>
      <w:r>
        <w:rPr>
          <w:rFonts w:ascii="Arial" w:cs="Arial" w:eastAsia="Arial" w:hAnsi="Arial"/>
          <w:sz w:val="18"/>
          <w:szCs w:val="18"/>
        </w:rPr>
        <w:t xml:space="preserve">Captura del prototipo Spotly con datos de demostración.</w:t>
      </w:r>
    </w:p>
    <w:p>
      <w:pPr>
        <w:keepNext/>
        <w:spacing w:after="0" w:before="160"/>
      </w:pPr>
      <w:r>
        <w:rPr>
          <w:rFonts w:ascii="Arial" w:cs="Arial" w:eastAsia="Arial" w:hAnsi="Arial"/>
          <w:b/>
          <w:bCs/>
          <w:sz w:val="20"/>
          <w:szCs w:val="20"/>
        </w:rPr>
        <w:t xml:space="preserve">Figura 18</w:t>
      </w:r>
    </w:p>
    <w:p>
      <w:pPr>
        <w:keepNext/>
        <w:spacing w:after="80"/>
      </w:pPr>
      <w:r>
        <w:rPr>
          <w:rFonts w:ascii="Arial" w:cs="Arial" w:eastAsia="Arial" w:hAnsi="Arial"/>
          <w:i/>
          <w:iCs/>
          <w:sz w:val="20"/>
          <w:szCs w:val="20"/>
        </w:rPr>
        <w:t xml:space="preserve">Publicar espacio: asistente de 3 pasos</w:t>
      </w:r>
    </w:p>
    <w:p>
      <w:pPr>
        <w:keepNext/>
        <w:jc w:val="center"/>
      </w:pPr>
      <w:r>
        <w:drawing>
          <wp:inline distT="0" distB="0" distL="0" distR="0">
            <wp:extent cx="3619500" cy="3895725"/>
            <wp:effectExtent t="0" r="0" b="0" l="0"/>
            <wp:docPr id="1" name="own-publicar-1-c.png" descr="Publicar espacio: asistente de 3 pasos" title="Publicar espacio: asistente de 3 pa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19500" cy="3895725"/>
                    </a:xfrm>
                    <a:prstGeom prst="rect">
                      <a:avLst/>
                    </a:prstGeom>
                  </pic:spPr>
                </pic:pic>
              </a:graphicData>
            </a:graphic>
          </wp:inline>
        </w:drawing>
      </w:r>
    </w:p>
    <w:p>
      <w:pPr>
        <w:spacing w:after="180" w:before="60"/>
      </w:pPr>
      <w:r>
        <w:rPr>
          <w:rFonts w:ascii="Arial" w:cs="Arial" w:eastAsia="Arial" w:hAnsi="Arial"/>
          <w:i/>
          <w:iCs/>
          <w:sz w:val="18"/>
          <w:szCs w:val="18"/>
        </w:rPr>
        <w:t xml:space="preserve">Nota. </w:t>
      </w:r>
      <w:r>
        <w:rPr>
          <w:rFonts w:ascii="Arial" w:cs="Arial" w:eastAsia="Arial" w:hAnsi="Arial"/>
          <w:sz w:val="18"/>
          <w:szCs w:val="18"/>
        </w:rPr>
        <w:t xml:space="preserve">Captura del prototipo Spotly con datos de demostración.</w:t>
      </w:r>
    </w:p>
    <w:p>
      <w:pPr>
        <w:keepNext/>
        <w:spacing w:after="0" w:before="160"/>
      </w:pPr>
      <w:r>
        <w:rPr>
          <w:rFonts w:ascii="Arial" w:cs="Arial" w:eastAsia="Arial" w:hAnsi="Arial"/>
          <w:b/>
          <w:bCs/>
          <w:sz w:val="20"/>
          <w:szCs w:val="20"/>
        </w:rPr>
        <w:t xml:space="preserve">Figura 19</w:t>
      </w:r>
    </w:p>
    <w:p>
      <w:pPr>
        <w:keepNext/>
        <w:spacing w:after="80"/>
      </w:pPr>
      <w:r>
        <w:rPr>
          <w:rFonts w:ascii="Arial" w:cs="Arial" w:eastAsia="Arial" w:hAnsi="Arial"/>
          <w:i/>
          <w:iCs/>
          <w:sz w:val="20"/>
          <w:szCs w:val="20"/>
        </w:rPr>
        <w:t xml:space="preserve">Administración: revisión de verificación de identidad</w:t>
      </w:r>
    </w:p>
    <w:p>
      <w:pPr>
        <w:keepNext/>
        <w:jc w:val="center"/>
      </w:pPr>
      <w:r>
        <w:drawing>
          <wp:inline distT="0" distB="0" distL="0" distR="0">
            <wp:extent cx="5334000" cy="3333750"/>
            <wp:effectExtent t="0" r="0" b="0" l="0"/>
            <wp:docPr id="1" name="adm-kyc.png" descr="Administración: revisión de verificación de identidad" title="Administración: revisión de verificación de ident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333750"/>
                    </a:xfrm>
                    <a:prstGeom prst="rect">
                      <a:avLst/>
                    </a:prstGeom>
                  </pic:spPr>
                </pic:pic>
              </a:graphicData>
            </a:graphic>
          </wp:inline>
        </w:drawing>
      </w:r>
    </w:p>
    <w:p>
      <w:pPr>
        <w:spacing w:after="180" w:before="60"/>
      </w:pPr>
      <w:r>
        <w:rPr>
          <w:rFonts w:ascii="Arial" w:cs="Arial" w:eastAsia="Arial" w:hAnsi="Arial"/>
          <w:i/>
          <w:iCs/>
          <w:sz w:val="18"/>
          <w:szCs w:val="18"/>
        </w:rPr>
        <w:t xml:space="preserve">Nota. </w:t>
      </w:r>
      <w:r>
        <w:rPr>
          <w:rFonts w:ascii="Arial" w:cs="Arial" w:eastAsia="Arial" w:hAnsi="Arial"/>
          <w:sz w:val="18"/>
          <w:szCs w:val="18"/>
        </w:rPr>
        <w:t xml:space="preserve">Captura del prototipo Spotly con datos de demostración.</w:t>
      </w:r>
    </w:p>
    <w:p>
      <w:pPr>
        <w:keepNext/>
        <w:spacing w:after="0" w:before="160"/>
      </w:pPr>
      <w:r>
        <w:rPr>
          <w:rFonts w:ascii="Arial" w:cs="Arial" w:eastAsia="Arial" w:hAnsi="Arial"/>
          <w:b/>
          <w:bCs/>
          <w:sz w:val="20"/>
          <w:szCs w:val="20"/>
        </w:rPr>
        <w:t xml:space="preserve">Figura 20</w:t>
      </w:r>
    </w:p>
    <w:p>
      <w:pPr>
        <w:keepNext/>
        <w:spacing w:after="80"/>
      </w:pPr>
      <w:r>
        <w:rPr>
          <w:rFonts w:ascii="Arial" w:cs="Arial" w:eastAsia="Arial" w:hAnsi="Arial"/>
          <w:i/>
          <w:iCs/>
          <w:sz w:val="20"/>
          <w:szCs w:val="20"/>
        </w:rPr>
        <w:t xml:space="preserve">Administración: indicadores clave (KPI)</w:t>
      </w:r>
    </w:p>
    <w:p>
      <w:pPr>
        <w:keepNext/>
        <w:jc w:val="center"/>
      </w:pPr>
      <w:r>
        <w:drawing>
          <wp:inline distT="0" distB="0" distL="0" distR="0">
            <wp:extent cx="5334000" cy="3333750"/>
            <wp:effectExtent t="0" r="0" b="0" l="0"/>
            <wp:docPr id="1" name="adm-kpi.png" descr="Administración: indicadores clave (KPI)" title="Administración: indicadores clave (K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333750"/>
                    </a:xfrm>
                    <a:prstGeom prst="rect">
                      <a:avLst/>
                    </a:prstGeom>
                  </pic:spPr>
                </pic:pic>
              </a:graphicData>
            </a:graphic>
          </wp:inline>
        </w:drawing>
      </w:r>
    </w:p>
    <w:p>
      <w:pPr>
        <w:spacing w:after="180" w:before="60"/>
      </w:pPr>
      <w:r>
        <w:rPr>
          <w:rFonts w:ascii="Arial" w:cs="Arial" w:eastAsia="Arial" w:hAnsi="Arial"/>
          <w:i/>
          <w:iCs/>
          <w:sz w:val="18"/>
          <w:szCs w:val="18"/>
        </w:rPr>
        <w:t xml:space="preserve">Nota. </w:t>
      </w:r>
      <w:r>
        <w:rPr>
          <w:rFonts w:ascii="Arial" w:cs="Arial" w:eastAsia="Arial" w:hAnsi="Arial"/>
          <w:sz w:val="18"/>
          <w:szCs w:val="18"/>
        </w:rPr>
        <w:t xml:space="preserve">Captura del prototipo Spotly con datos de demostración.</w:t>
      </w:r>
    </w:p>
    <w:sectPr>
      <w:headerReference w:type="default" r:id="rId7"/>
      <w:footerReference w:type="default" r:id="rId8"/>
      <w:footerReference w:type="first" r:id="rId9"/>
      <w:pgSz w:w="12240" w:h="15840" w:orient="portrait"/>
      <w:pgMar w:top="1417" w:right="1417" w:bottom="1417" w:left="141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Informe de Desarrollo – Spotly | TIHI63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1F3864"/>
      <w:sz w:val="24"/>
      <w:szCs w:val="24"/>
    </w:rPr>
  </w:style>
  <w:style w:type="paragraph" w:styleId="Heading3">
    <w:name w:val="Heading 3"/>
    <w:basedOn w:val="Normal"/>
    <w:next w:val="Normal"/>
    <w:qFormat/>
    <w:pPr>
      <w:spacing w:after="10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07610570f63f6bf41e3d011657f0fc688c90bfea.png"/><Relationship Id="rId11" Type="http://schemas.openxmlformats.org/officeDocument/2006/relationships/image" Target="media/fba90984a26d599799642498b76ea6ee5e15b16e.png"/><Relationship Id="rId12" Type="http://schemas.openxmlformats.org/officeDocument/2006/relationships/image" Target="media/e74b636a0dc48ef3a4f6e778bb4ac4c2116c83ae.png"/><Relationship Id="rId13" Type="http://schemas.openxmlformats.org/officeDocument/2006/relationships/image" Target="media/f98e362ad4ab0cbafd2143a1f7f863e4475c4182.png"/><Relationship Id="rId14" Type="http://schemas.openxmlformats.org/officeDocument/2006/relationships/image" Target="media/6d940b8515299ebb13140ad5fbe94c597eaee548.png"/><Relationship Id="rId15" Type="http://schemas.openxmlformats.org/officeDocument/2006/relationships/image" Target="media/93a0baa07117bb5b5032d9f5c7278d7cd580f8cd.png"/><Relationship Id="rId16" Type="http://schemas.openxmlformats.org/officeDocument/2006/relationships/image" Target="media/a2c9f2e73dc667a209961f6cf2a82328d46cd0d5.png"/><Relationship Id="rId17" Type="http://schemas.openxmlformats.org/officeDocument/2006/relationships/image" Target="media/6a63bf8611f045dfe64ace60502b50bf8f44d29f.png"/><Relationship Id="rId18" Type="http://schemas.openxmlformats.org/officeDocument/2006/relationships/image" Target="media/78a387f3e64ed68bc48199923de1883def28ddf9.png"/><Relationship Id="rId19" Type="http://schemas.openxmlformats.org/officeDocument/2006/relationships/image" Target="media/6e56caf06575c021925795310c972f70e0576b31.png"/><Relationship Id="rId20" Type="http://schemas.openxmlformats.org/officeDocument/2006/relationships/image" Target="media/6a791132fb30b852dfab20d5297b280803a73869.png"/><Relationship Id="rId21" Type="http://schemas.openxmlformats.org/officeDocument/2006/relationships/image" Target="media/13e0a489de48372a54e27e8d21762e1449028b9a.png"/><Relationship Id="rId22" Type="http://schemas.openxmlformats.org/officeDocument/2006/relationships/image" Target="media/375bf6153d8f7b544d55168e33398336bb0169ef.png"/><Relationship Id="rId23" Type="http://schemas.openxmlformats.org/officeDocument/2006/relationships/image" Target="media/07e5d5cebdd21eb91ecfa185de3e2529ba5783ec.png"/><Relationship Id="rId24" Type="http://schemas.openxmlformats.org/officeDocument/2006/relationships/image" Target="media/7d4b1ebe52ea713d0bc54acd3e03236c2c53ff71.png"/><Relationship Id="rId25" Type="http://schemas.openxmlformats.org/officeDocument/2006/relationships/image" Target="media/d7bbb855494a9d6f39cca0ad0544dd35b0767dc1.png"/><Relationship Id="rId26" Type="http://schemas.openxmlformats.org/officeDocument/2006/relationships/image" Target="media/a82e1a0553926df52ade5a71ee5bc535b58247dd.png"/><Relationship Id="rId27" Type="http://schemas.openxmlformats.org/officeDocument/2006/relationships/image" Target="media/c943eca866bbf52a86b8c6ec0f2a63359ead322f.png"/><Relationship Id="rId28" Type="http://schemas.openxmlformats.org/officeDocument/2006/relationships/image" Target="media/0845ff9915c85d216a3e1da786bfd4d5f193ffae.png"/><Relationship Id="rId29" Type="http://schemas.openxmlformats.org/officeDocument/2006/relationships/image" Target="media/a18cb5339195163347fdc5feb83ef28e6e6f8627.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Desarrollo – Spotly (TIHI63)</dc:title>
  <dc:creator>Equipo Spotly</dc:creator>
  <cp:lastModifiedBy>Un-named</cp:lastModifiedBy>
  <cp:revision>1</cp:revision>
  <dcterms:created xsi:type="dcterms:W3CDTF">2026-10-23T21:29:59.214Z</dcterms:created>
  <dcterms:modified xsi:type="dcterms:W3CDTF">2026-10-23T21:29:59.215Z</dcterms:modified>
</cp:coreProperties>
</file>

<file path=docProps/custom.xml><?xml version="1.0" encoding="utf-8"?>
<Properties xmlns="http://schemas.openxmlformats.org/officeDocument/2006/custom-properties" xmlns:vt="http://schemas.openxmlformats.org/officeDocument/2006/docPropsVTypes"/>
</file>