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Revisão e criação de atividades.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04/04/2022.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Faculdade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08:10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Alberani dos Santos;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Marques.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Atualizar o site;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Terminar a documentação para o dia 06/04;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Terminamos o diagrama de solução;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Ajuste do horário da reunião da quarta-feira às 19:00.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Terminar 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Terminar a página de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Terminar a página de login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documentação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diagrama de solução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