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Alterações feitas no fluxo de suporte.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16/05/2022.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Faculdade.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08:40.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do fluxograma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Agda e Pedro faltaram porque estavam doentes.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Victor estava atrasado.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