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 que colocar no GNUD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23/05/2022.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Faculdade.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08:15.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que colocar no GMUD: cliente, dashboard, help desk e banco de dados na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 da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Fazer a GMUD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Colocar a api do banco de dados na azure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Victor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Configurar help desk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