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1601D5AA" w:rsidR="00BE7F24" w:rsidRPr="009A150F" w:rsidRDefault="00000000" w:rsidP="009A150F">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4" w14:textId="77777777" w:rsidR="00BE7F2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BE7F2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BE7F24" w:rsidRDefault="00BE7F24">
      <w:pPr>
        <w:widowControl w:val="0"/>
        <w:spacing w:line="240" w:lineRule="auto"/>
        <w:rPr>
          <w:rFonts w:ascii="Google Sans" w:eastAsia="Google Sans" w:hAnsi="Google Sans" w:cs="Google Sans"/>
          <w:b/>
          <w:sz w:val="24"/>
          <w:szCs w:val="24"/>
        </w:rPr>
      </w:pPr>
    </w:p>
    <w:p w14:paraId="00000007" w14:textId="77777777" w:rsidR="00BE7F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20ABED8E" w:rsidR="00BE7F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217992">
        <w:rPr>
          <w:rFonts w:ascii="Google Sans" w:eastAsia="Google Sans" w:hAnsi="Google Sans" w:cs="Google Sans"/>
          <w:sz w:val="24"/>
          <w:szCs w:val="24"/>
        </w:rPr>
        <w:t xml:space="preserve">FERC-NERC regulations apply to entities in the energy sector, particularly, those involved in the generation, transmission, and distribution of electric power. </w:t>
      </w:r>
    </w:p>
    <w:p w14:paraId="00000009" w14:textId="77777777" w:rsidR="00BE7F2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General Data Protection Regulation (GDPR)</w:t>
      </w:r>
    </w:p>
    <w:p w14:paraId="0000000A" w14:textId="03358180" w:rsidR="00BE7F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r w:rsidR="00CB1E21">
        <w:rPr>
          <w:rFonts w:ascii="Google Sans" w:eastAsia="Google Sans" w:hAnsi="Google Sans" w:cs="Google Sans"/>
          <w:sz w:val="24"/>
          <w:szCs w:val="24"/>
        </w:rPr>
        <w:t>an</w:t>
      </w:r>
      <w:r>
        <w:rPr>
          <w:rFonts w:ascii="Google Sans" w:eastAsia="Google Sans" w:hAnsi="Google Sans" w:cs="Google Sans"/>
          <w:sz w:val="24"/>
          <w:szCs w:val="24"/>
        </w:rPr>
        <w:t xml:space="preserve"> E.U. citizen’s data is compromised, they must be informed within 72 hours of the incident.</w:t>
      </w:r>
    </w:p>
    <w:p w14:paraId="0000000B" w14:textId="1F96462E" w:rsidR="00BE7F24" w:rsidRPr="00CB1E21"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CB1E21" w:rsidRPr="00CB1E21">
        <w:rPr>
          <w:rFonts w:ascii="Google Sans" w:eastAsia="Google Sans" w:hAnsi="Google Sans" w:cs="Google Sans"/>
          <w:bCs/>
          <w:sz w:val="24"/>
          <w:szCs w:val="24"/>
        </w:rPr>
        <w:t>Botium</w:t>
      </w:r>
      <w:proofErr w:type="spellEnd"/>
      <w:r w:rsidR="00CB1E21" w:rsidRPr="00CB1E21">
        <w:rPr>
          <w:rFonts w:ascii="Google Sans" w:eastAsia="Google Sans" w:hAnsi="Google Sans" w:cs="Google Sans"/>
          <w:bCs/>
          <w:sz w:val="24"/>
          <w:szCs w:val="24"/>
        </w:rPr>
        <w:t xml:space="preserve"> Toys is expanding </w:t>
      </w:r>
      <w:r w:rsidR="00CB1E21">
        <w:rPr>
          <w:rFonts w:ascii="Google Sans" w:eastAsia="Google Sans" w:hAnsi="Google Sans" w:cs="Google Sans"/>
          <w:bCs/>
          <w:sz w:val="24"/>
          <w:szCs w:val="24"/>
        </w:rPr>
        <w:t>its</w:t>
      </w:r>
      <w:r w:rsidR="00CB1E21" w:rsidRPr="00CB1E21">
        <w:rPr>
          <w:rFonts w:ascii="Google Sans" w:eastAsia="Google Sans" w:hAnsi="Google Sans" w:cs="Google Sans"/>
          <w:bCs/>
          <w:sz w:val="24"/>
          <w:szCs w:val="24"/>
        </w:rPr>
        <w:t xml:space="preserve"> online market to Europe</w:t>
      </w:r>
      <w:r w:rsidR="00CB1E21">
        <w:rPr>
          <w:rFonts w:ascii="Google Sans" w:eastAsia="Google Sans" w:hAnsi="Google Sans" w:cs="Google Sans"/>
          <w:bCs/>
          <w:sz w:val="24"/>
          <w:szCs w:val="24"/>
        </w:rPr>
        <w:t xml:space="preserve">. GDPR governs the protection, processing, and </w:t>
      </w:r>
      <w:r w:rsidR="00CB1E21">
        <w:rPr>
          <w:rFonts w:asciiTheme="minorHAnsi" w:eastAsia="Google Sans" w:hAnsiTheme="minorHAnsi" w:cs="Google Sans"/>
          <w:bCs/>
          <w:sz w:val="24"/>
          <w:szCs w:val="24"/>
        </w:rPr>
        <w:t xml:space="preserve">transfer </w:t>
      </w:r>
      <w:r w:rsidR="00CB1E21">
        <w:rPr>
          <w:rFonts w:ascii="Google Sans" w:eastAsia="Google Sans" w:hAnsi="Google Sans" w:cs="Google Sans"/>
          <w:bCs/>
          <w:sz w:val="24"/>
          <w:szCs w:val="24"/>
        </w:rPr>
        <w:t xml:space="preserve">of personal data of individuals within the European Union. Compliance with GDPR ensures that </w:t>
      </w:r>
      <w:proofErr w:type="spellStart"/>
      <w:r w:rsidR="00CB1E21">
        <w:rPr>
          <w:rFonts w:ascii="Google Sans" w:eastAsia="Google Sans" w:hAnsi="Google Sans" w:cs="Google Sans"/>
          <w:bCs/>
          <w:sz w:val="24"/>
          <w:szCs w:val="24"/>
        </w:rPr>
        <w:t>Botium</w:t>
      </w:r>
      <w:proofErr w:type="spellEnd"/>
      <w:r w:rsidR="00CB1E21">
        <w:rPr>
          <w:rFonts w:ascii="Google Sans" w:eastAsia="Google Sans" w:hAnsi="Google Sans" w:cs="Google Sans"/>
          <w:bCs/>
          <w:sz w:val="24"/>
          <w:szCs w:val="24"/>
        </w:rPr>
        <w:t xml:space="preserve"> Toys handles personal data of EU residents in a lawful and secure manner, respecting their privacy rights.</w:t>
      </w:r>
    </w:p>
    <w:p w14:paraId="0000000C" w14:textId="77777777" w:rsidR="00BE7F2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Payment Card Industry Data Security Standard (PCI DSS)</w:t>
      </w:r>
    </w:p>
    <w:p w14:paraId="0000000D" w14:textId="77777777" w:rsidR="00BE7F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5CA2FF2E" w:rsidR="00BE7F24" w:rsidRPr="00CB1E21"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CB1E21">
        <w:rPr>
          <w:rFonts w:ascii="Google Sans" w:eastAsia="Google Sans" w:hAnsi="Google Sans" w:cs="Google Sans"/>
          <w:bCs/>
          <w:sz w:val="24"/>
          <w:szCs w:val="24"/>
        </w:rPr>
        <w:t xml:space="preserve">Since </w:t>
      </w:r>
      <w:proofErr w:type="spellStart"/>
      <w:r w:rsidR="00CB1E21">
        <w:rPr>
          <w:rFonts w:ascii="Google Sans" w:eastAsia="Google Sans" w:hAnsi="Google Sans" w:cs="Google Sans"/>
          <w:bCs/>
          <w:sz w:val="24"/>
          <w:szCs w:val="24"/>
        </w:rPr>
        <w:t>Botium</w:t>
      </w:r>
      <w:proofErr w:type="spellEnd"/>
      <w:r w:rsidR="00CB1E21">
        <w:rPr>
          <w:rFonts w:ascii="Google Sans" w:eastAsia="Google Sans" w:hAnsi="Google Sans" w:cs="Google Sans"/>
          <w:bCs/>
          <w:sz w:val="24"/>
          <w:szCs w:val="24"/>
        </w:rPr>
        <w:t xml:space="preserve"> Toys processes payment card transactions, they need to comply with PCI DSS. This standard ensures the secure handling of credit cardholder </w:t>
      </w:r>
      <w:r w:rsidR="00CB1E21">
        <w:rPr>
          <w:rFonts w:ascii="Google Sans" w:eastAsia="Google Sans" w:hAnsi="Google Sans" w:cs="Google Sans"/>
          <w:bCs/>
          <w:sz w:val="24"/>
          <w:szCs w:val="24"/>
        </w:rPr>
        <w:lastRenderedPageBreak/>
        <w:t>data and establishes guidelines for maintaining a secure payment environment. Compliance with PCI DSS helps protect customer payment card information and reduces the risk of data breaches and fraud.</w:t>
      </w:r>
    </w:p>
    <w:p w14:paraId="0000000F" w14:textId="77777777" w:rsidR="00BE7F2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BE7F2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0EB6EED" w:rsidR="00BE7F24" w:rsidRPr="00CB1E21"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CB1E21">
        <w:rPr>
          <w:rFonts w:ascii="Google Sans" w:eastAsia="Google Sans" w:hAnsi="Google Sans" w:cs="Google Sans"/>
          <w:bCs/>
          <w:sz w:val="24"/>
          <w:szCs w:val="24"/>
        </w:rPr>
        <w:t>Botium</w:t>
      </w:r>
      <w:proofErr w:type="spellEnd"/>
      <w:r w:rsidR="00CB1E21">
        <w:rPr>
          <w:rFonts w:ascii="Google Sans" w:eastAsia="Google Sans" w:hAnsi="Google Sans" w:cs="Google Sans"/>
          <w:bCs/>
          <w:sz w:val="24"/>
          <w:szCs w:val="24"/>
        </w:rPr>
        <w:t xml:space="preserve"> Toys is not in the healthcare business, hence HIPAA compliance may not be necessary. </w:t>
      </w:r>
    </w:p>
    <w:p w14:paraId="00000012" w14:textId="77777777" w:rsidR="00BE7F24"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System and Organizations Controls (SOC type 1, SOC type 2)</w:t>
      </w:r>
    </w:p>
    <w:p w14:paraId="00000013" w14:textId="77777777" w:rsidR="00BE7F24"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3B4FC960" w:rsidR="00BE7F24" w:rsidRPr="00CB1E21"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CB1E21">
        <w:rPr>
          <w:rFonts w:ascii="Google Sans" w:eastAsia="Google Sans" w:hAnsi="Google Sans" w:cs="Google Sans"/>
          <w:bCs/>
          <w:sz w:val="24"/>
          <w:szCs w:val="24"/>
        </w:rPr>
        <w:t>Botium</w:t>
      </w:r>
      <w:proofErr w:type="spellEnd"/>
      <w:r w:rsidR="00CB1E21">
        <w:rPr>
          <w:rFonts w:ascii="Google Sans" w:eastAsia="Google Sans" w:hAnsi="Google Sans" w:cs="Google Sans"/>
          <w:bCs/>
          <w:sz w:val="24"/>
          <w:szCs w:val="24"/>
        </w:rPr>
        <w:t xml:space="preserve"> Toys may need to undergo SOC Type 1 and SOC Type 2 audits to demonstrate their adherence to security, availability, processing, </w:t>
      </w:r>
      <w:r w:rsidR="00BB4295">
        <w:rPr>
          <w:rFonts w:ascii="Google Sans" w:eastAsia="Google Sans" w:hAnsi="Google Sans" w:cs="Google Sans"/>
          <w:bCs/>
          <w:sz w:val="24"/>
          <w:szCs w:val="24"/>
        </w:rPr>
        <w:t>integrity, confidentiality, and privacy controls. These reports are often requested by customers and business partners to assess the effectiveness of an organization’s internal controls.</w:t>
      </w:r>
    </w:p>
    <w:sectPr w:rsidR="00BE7F24" w:rsidRPr="00CB1E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24"/>
    <w:rsid w:val="00217992"/>
    <w:rsid w:val="00563140"/>
    <w:rsid w:val="00597721"/>
    <w:rsid w:val="009A150F"/>
    <w:rsid w:val="00BB4295"/>
    <w:rsid w:val="00BE7F24"/>
    <w:rsid w:val="00CB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247D"/>
  <w15:docId w15:val="{C5C012F7-6CEA-4EB6-914A-54C67C04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436</Words>
  <Characters>2773</Characters>
  <Application>Microsoft Office Word</Application>
  <DocSecurity>0</DocSecurity>
  <Lines>120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Alberta Adu</cp:lastModifiedBy>
  <cp:revision>5</cp:revision>
  <dcterms:created xsi:type="dcterms:W3CDTF">2023-06-08T14:06:00Z</dcterms:created>
  <dcterms:modified xsi:type="dcterms:W3CDTF">2023-06-08T20:39:00Z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7ebaddc766f876962f30fd8162283d6e925cef144070802fee3809830c7f1830</vt:lpwstr>
  </property>
</Properties>
</file>