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rFonts w:ascii="Times New Roman"/>
          <w:sz w:val="7"/>
        </w:rPr>
      </w:pPr>
      <w:r>
        <w:rPr>
          <w:rFonts w:ascii="Times New Roman"/>
          <w:sz w:val="7"/>
        </w:rPr>
        <w:drawing>
          <wp:anchor distT="0" distB="0" distL="0" distR="0" allowOverlap="1" layoutInCell="1" locked="0" behindDoc="0" simplePos="0" relativeHeight="15730688">
            <wp:simplePos x="0" y="0"/>
            <wp:positionH relativeFrom="page">
              <wp:posOffset>533400</wp:posOffset>
            </wp:positionH>
            <wp:positionV relativeFrom="page">
              <wp:posOffset>457200</wp:posOffset>
            </wp:positionV>
            <wp:extent cx="6648450" cy="104775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48450" cy="1047750"/>
                    </a:xfrm>
                    <a:prstGeom prst="rect">
                      <a:avLst/>
                    </a:prstGeom>
                  </pic:spPr>
                </pic:pic>
              </a:graphicData>
            </a:graphic>
          </wp:anchor>
        </w:drawing>
      </w:r>
    </w:p>
    <w:p>
      <w:pPr>
        <w:pStyle w:val="BodyText"/>
        <w:spacing w:line="20" w:lineRule="exact"/>
        <w:ind w:left="144"/>
        <w:rPr>
          <w:rFonts w:ascii="Times New Roman"/>
          <w:sz w:val="2"/>
        </w:rPr>
      </w:pPr>
      <w:r>
        <w:rPr>
          <w:rFonts w:ascii="Times New Roman"/>
          <w:sz w:val="2"/>
        </w:rPr>
        <mc:AlternateContent>
          <mc:Choice Requires="wps">
            <w:drawing>
              <wp:inline distT="0" distB="0" distL="0" distR="0">
                <wp:extent cx="5257800" cy="9525"/>
                <wp:effectExtent l="9525" t="0" r="0" b="0"/>
                <wp:docPr id="4" name="Group 4"/>
                <wp:cNvGraphicFramePr>
                  <a:graphicFrameLocks/>
                </wp:cNvGraphicFramePr>
                <a:graphic>
                  <a:graphicData uri="http://schemas.microsoft.com/office/word/2010/wordprocessingGroup">
                    <wpg:wgp>
                      <wpg:cNvPr id="4" name="Group 4"/>
                      <wpg:cNvGrpSpPr/>
                      <wpg:grpSpPr>
                        <a:xfrm>
                          <a:off x="0" y="0"/>
                          <a:ext cx="5257800" cy="9525"/>
                          <a:chExt cx="5257800" cy="9525"/>
                        </a:xfrm>
                      </wpg:grpSpPr>
                      <wps:wsp>
                        <wps:cNvPr id="5" name="Graphic 5"/>
                        <wps:cNvSpPr/>
                        <wps:spPr>
                          <a:xfrm>
                            <a:off x="0" y="4762"/>
                            <a:ext cx="5257800" cy="1270"/>
                          </a:xfrm>
                          <a:custGeom>
                            <a:avLst/>
                            <a:gdLst/>
                            <a:ahLst/>
                            <a:cxnLst/>
                            <a:rect l="l" t="t" r="r" b="b"/>
                            <a:pathLst>
                              <a:path w="5257800" h="0">
                                <a:moveTo>
                                  <a:pt x="0" y="0"/>
                                </a:moveTo>
                                <a:lnTo>
                                  <a:pt x="5257800" y="0"/>
                                </a:lnTo>
                              </a:path>
                            </a:pathLst>
                          </a:custGeom>
                          <a:ln w="9525">
                            <a:solidFill>
                              <a:srgbClr val="C0C0C0"/>
                            </a:solidFill>
                            <a:prstDash val="solid"/>
                          </a:ln>
                        </wps:spPr>
                        <wps:bodyPr wrap="square" lIns="0" tIns="0" rIns="0" bIns="0" rtlCol="0">
                          <a:prstTxWarp prst="textNoShape">
                            <a:avLst/>
                          </a:prstTxWarp>
                          <a:noAutofit/>
                        </wps:bodyPr>
                      </wps:wsp>
                    </wpg:wgp>
                  </a:graphicData>
                </a:graphic>
              </wp:inline>
            </w:drawing>
          </mc:Choice>
          <mc:Fallback>
            <w:pict>
              <v:group style="width:414pt;height:.75pt;mso-position-horizontal-relative:char;mso-position-vertical-relative:line" id="docshapegroup3" coordorigin="0,0" coordsize="8280,15">
                <v:line style="position:absolute" from="0,8" to="8280,8" stroked="true" strokeweight=".75pt" strokecolor="#c0c0c0">
                  <v:stroke dashstyle="solid"/>
                </v:line>
              </v:group>
            </w:pict>
          </mc:Fallback>
        </mc:AlternateContent>
      </w:r>
      <w:r>
        <w:rPr>
          <w:rFonts w:ascii="Times New Roman"/>
          <w:sz w:val="2"/>
        </w:rPr>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74"/>
        <w:rPr>
          <w:rFonts w:ascii="Times New Roman"/>
        </w:rPr>
      </w:pPr>
    </w:p>
    <w:p>
      <w:pPr>
        <w:pStyle w:val="BodyText"/>
        <w:tabs>
          <w:tab w:pos="4644" w:val="left" w:leader="none"/>
          <w:tab w:pos="7898" w:val="left" w:leader="none"/>
        </w:tabs>
        <w:ind w:left="144"/>
        <w:rPr>
          <w:rFonts w:ascii="Times New Roman"/>
        </w:rPr>
      </w:pPr>
      <w:r>
        <w:rPr>
          <w:rFonts w:ascii="Times New Roman"/>
        </w:rPr>
        <mc:AlternateContent>
          <mc:Choice Requires="wps">
            <w:drawing>
              <wp:anchor distT="0" distB="0" distL="0" distR="0" allowOverlap="1" layoutInCell="1" locked="0" behindDoc="0" simplePos="0" relativeHeight="15729152">
                <wp:simplePos x="0" y="0"/>
                <wp:positionH relativeFrom="page">
                  <wp:posOffset>529590</wp:posOffset>
                </wp:positionH>
                <wp:positionV relativeFrom="paragraph">
                  <wp:posOffset>-30420</wp:posOffset>
                </wp:positionV>
                <wp:extent cx="677735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777355" cy="6350"/>
                        </a:xfrm>
                        <a:custGeom>
                          <a:avLst/>
                          <a:gdLst/>
                          <a:ahLst/>
                          <a:cxnLst/>
                          <a:rect l="l" t="t" r="r" b="b"/>
                          <a:pathLst>
                            <a:path w="6777355" h="6350">
                              <a:moveTo>
                                <a:pt x="6777228" y="0"/>
                              </a:moveTo>
                              <a:lnTo>
                                <a:pt x="0" y="0"/>
                              </a:lnTo>
                              <a:lnTo>
                                <a:pt x="0" y="6095"/>
                              </a:lnTo>
                              <a:lnTo>
                                <a:pt x="6777228" y="6095"/>
                              </a:lnTo>
                              <a:lnTo>
                                <a:pt x="6777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00001pt;margin-top:-2.395293pt;width:533.64pt;height:.47998pt;mso-position-horizontal-relative:page;mso-position-vertical-relative:paragraph;z-index:15729152" id="docshape4" filled="true" fillcolor="#000000" stroked="false">
                <v:fill type="solid"/>
                <w10:wrap type="none"/>
              </v:rect>
            </w:pict>
          </mc:Fallback>
        </mc:AlternateContent>
      </w:r>
      <w:r>
        <w:rPr>
          <w:rFonts w:ascii="Times New Roman"/>
        </w:rPr>
        <w:t>Media Relations </w:t>
      </w:r>
      <w:r>
        <w:rPr>
          <w:rFonts w:ascii="Times New Roman"/>
          <w:spacing w:val="-2"/>
        </w:rPr>
        <w:t>Office</w:t>
      </w:r>
      <w:r>
        <w:rPr>
          <w:rFonts w:ascii="Times New Roman"/>
        </w:rPr>
        <w:tab/>
        <w:t>Washington,</w:t>
      </w:r>
      <w:r>
        <w:rPr>
          <w:rFonts w:ascii="Times New Roman"/>
          <w:spacing w:val="-3"/>
        </w:rPr>
        <w:t> </w:t>
      </w:r>
      <w:r>
        <w:rPr>
          <w:rFonts w:ascii="Times New Roman"/>
          <w:spacing w:val="-4"/>
        </w:rPr>
        <w:t>D.C.</w:t>
      </w:r>
      <w:r>
        <w:rPr>
          <w:rFonts w:ascii="Times New Roman"/>
        </w:rPr>
        <w:tab/>
        <w:t>Media Contact: </w:t>
      </w:r>
      <w:r>
        <w:rPr>
          <w:rFonts w:ascii="Times New Roman"/>
          <w:spacing w:val="-2"/>
        </w:rPr>
        <w:t>202.622.4000</w:t>
      </w:r>
    </w:p>
    <w:p>
      <w:pPr>
        <w:pStyle w:val="BodyText"/>
        <w:tabs>
          <w:tab w:pos="7897" w:val="left" w:leader="none"/>
        </w:tabs>
        <w:spacing w:before="49"/>
        <w:ind w:left="144"/>
        <w:rPr>
          <w:rFonts w:ascii="Times New Roman"/>
        </w:rPr>
      </w:pPr>
      <w:r>
        <w:rPr>
          <w:rFonts w:ascii="Times New Roman"/>
        </w:rPr>
        <mc:AlternateContent>
          <mc:Choice Requires="wps">
            <w:drawing>
              <wp:anchor distT="0" distB="0" distL="0" distR="0" allowOverlap="1" layoutInCell="1" locked="0" behindDoc="0" simplePos="0" relativeHeight="15729664">
                <wp:simplePos x="0" y="0"/>
                <wp:positionH relativeFrom="page">
                  <wp:posOffset>529590</wp:posOffset>
                </wp:positionH>
                <wp:positionV relativeFrom="paragraph">
                  <wp:posOffset>26743</wp:posOffset>
                </wp:positionV>
                <wp:extent cx="677735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777355" cy="6350"/>
                        </a:xfrm>
                        <a:custGeom>
                          <a:avLst/>
                          <a:gdLst/>
                          <a:ahLst/>
                          <a:cxnLst/>
                          <a:rect l="l" t="t" r="r" b="b"/>
                          <a:pathLst>
                            <a:path w="6777355" h="6350">
                              <a:moveTo>
                                <a:pt x="6777228" y="0"/>
                              </a:moveTo>
                              <a:lnTo>
                                <a:pt x="0" y="0"/>
                              </a:lnTo>
                              <a:lnTo>
                                <a:pt x="0" y="6096"/>
                              </a:lnTo>
                              <a:lnTo>
                                <a:pt x="6777228" y="6096"/>
                              </a:lnTo>
                              <a:lnTo>
                                <a:pt x="6777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00001pt;margin-top:2.105819pt;width:533.64pt;height:.48004pt;mso-position-horizontal-relative:page;mso-position-vertical-relative:paragraph;z-index:15729664" id="docshape5" filled="true" fillcolor="#000000" stroked="false">
                <v:fill type="solid"/>
                <w10:wrap type="none"/>
              </v:rect>
            </w:pict>
          </mc:Fallback>
        </mc:AlternateContent>
      </w:r>
      <w:r>
        <w:rPr>
          <w:rFonts w:ascii="Times New Roman"/>
        </w:rPr>
        <mc:AlternateContent>
          <mc:Choice Requires="wps">
            <w:drawing>
              <wp:anchor distT="0" distB="0" distL="0" distR="0" allowOverlap="1" layoutInCell="1" locked="0" behindDoc="0" simplePos="0" relativeHeight="15730176">
                <wp:simplePos x="0" y="0"/>
                <wp:positionH relativeFrom="page">
                  <wp:posOffset>529590</wp:posOffset>
                </wp:positionH>
                <wp:positionV relativeFrom="paragraph">
                  <wp:posOffset>221054</wp:posOffset>
                </wp:positionV>
                <wp:extent cx="6777355" cy="190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777355" cy="19050"/>
                        </a:xfrm>
                        <a:custGeom>
                          <a:avLst/>
                          <a:gdLst/>
                          <a:ahLst/>
                          <a:cxnLst/>
                          <a:rect l="l" t="t" r="r" b="b"/>
                          <a:pathLst>
                            <a:path w="6777355" h="19050">
                              <a:moveTo>
                                <a:pt x="6777228" y="0"/>
                              </a:moveTo>
                              <a:lnTo>
                                <a:pt x="0" y="0"/>
                              </a:lnTo>
                              <a:lnTo>
                                <a:pt x="0" y="19050"/>
                              </a:lnTo>
                              <a:lnTo>
                                <a:pt x="6777228" y="19050"/>
                              </a:lnTo>
                              <a:lnTo>
                                <a:pt x="6777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00001pt;margin-top:17.405859pt;width:533.64pt;height:1.5pt;mso-position-horizontal-relative:page;mso-position-vertical-relative:paragraph;z-index:15730176" id="docshape6" filled="true" fillcolor="#000000" stroked="false">
                <v:fill type="solid"/>
                <w10:wrap type="none"/>
              </v:rect>
            </w:pict>
          </mc:Fallback>
        </mc:AlternateContent>
      </w:r>
      <w:hyperlink r:id="rId7">
        <w:r>
          <w:rPr>
            <w:rFonts w:ascii="Times New Roman"/>
            <w:color w:val="0000FF"/>
            <w:spacing w:val="-2"/>
            <w:u w:val="single" w:color="0000FF"/>
          </w:rPr>
          <w:t>www.IRS.gov/newsroom</w:t>
        </w:r>
      </w:hyperlink>
      <w:r>
        <w:rPr>
          <w:rFonts w:ascii="Times New Roman"/>
          <w:color w:val="0000FF"/>
        </w:rPr>
        <w:tab/>
      </w:r>
      <w:r>
        <w:rPr>
          <w:rFonts w:ascii="Times New Roman"/>
        </w:rPr>
        <w:t>Public Contact: </w:t>
      </w:r>
      <w:r>
        <w:rPr>
          <w:rFonts w:ascii="Times New Roman"/>
          <w:spacing w:val="-2"/>
        </w:rPr>
        <w:t>800.829.1040</w:t>
      </w:r>
    </w:p>
    <w:p>
      <w:pPr>
        <w:pStyle w:val="BodyText"/>
        <w:spacing w:before="9"/>
        <w:rPr>
          <w:rFonts w:ascii="Times New Roman"/>
          <w:sz w:val="28"/>
        </w:rPr>
      </w:pPr>
    </w:p>
    <w:p>
      <w:pPr>
        <w:pStyle w:val="Title"/>
      </w:pPr>
      <w:r>
        <w:rPr/>
        <w:t>Tax</w:t>
      </w:r>
      <w:r>
        <w:rPr>
          <w:spacing w:val="-8"/>
        </w:rPr>
        <w:t> </w:t>
      </w:r>
      <w:r>
        <w:rPr/>
        <w:t>Credits</w:t>
      </w:r>
      <w:r>
        <w:rPr>
          <w:spacing w:val="-7"/>
        </w:rPr>
        <w:t> </w:t>
      </w:r>
      <w:r>
        <w:rPr/>
        <w:t>for</w:t>
      </w:r>
      <w:r>
        <w:rPr>
          <w:spacing w:val="-7"/>
        </w:rPr>
        <w:t> </w:t>
      </w:r>
      <w:r>
        <w:rPr/>
        <w:t>Home</w:t>
      </w:r>
      <w:r>
        <w:rPr>
          <w:spacing w:val="-7"/>
        </w:rPr>
        <w:t> </w:t>
      </w:r>
      <w:r>
        <w:rPr>
          <w:spacing w:val="-2"/>
        </w:rPr>
        <w:t>Buyers</w:t>
      </w:r>
    </w:p>
    <w:p>
      <w:pPr>
        <w:spacing w:before="280"/>
        <w:ind w:left="863" w:right="4260" w:firstLine="0"/>
        <w:jc w:val="left"/>
        <w:rPr>
          <w:rFonts w:ascii="Arial"/>
          <w:i/>
          <w:sz w:val="24"/>
        </w:rPr>
      </w:pPr>
      <w:r>
        <w:rPr>
          <w:rFonts w:ascii="Arial"/>
          <w:i/>
          <w:sz w:val="24"/>
        </w:rPr>
        <w:t>Video:</w:t>
      </w:r>
      <w:r>
        <w:rPr>
          <w:rFonts w:ascii="Arial"/>
          <w:i/>
          <w:spacing w:val="-7"/>
          <w:sz w:val="24"/>
        </w:rPr>
        <w:t> </w:t>
      </w:r>
      <w:r>
        <w:rPr>
          <w:rFonts w:ascii="Arial"/>
          <w:i/>
          <w:sz w:val="24"/>
        </w:rPr>
        <w:t>New</w:t>
      </w:r>
      <w:r>
        <w:rPr>
          <w:rFonts w:ascii="Arial"/>
          <w:i/>
          <w:spacing w:val="-7"/>
          <w:sz w:val="24"/>
        </w:rPr>
        <w:t> </w:t>
      </w:r>
      <w:r>
        <w:rPr>
          <w:rFonts w:ascii="Arial"/>
          <w:i/>
          <w:sz w:val="24"/>
        </w:rPr>
        <w:t>Homebuyer</w:t>
      </w:r>
      <w:r>
        <w:rPr>
          <w:rFonts w:ascii="Arial"/>
          <w:i/>
          <w:spacing w:val="-7"/>
          <w:sz w:val="24"/>
        </w:rPr>
        <w:t> </w:t>
      </w:r>
      <w:r>
        <w:rPr>
          <w:rFonts w:ascii="Arial"/>
          <w:i/>
          <w:sz w:val="24"/>
        </w:rPr>
        <w:t>Credit-Claim</w:t>
      </w:r>
      <w:r>
        <w:rPr>
          <w:rFonts w:ascii="Arial"/>
          <w:i/>
          <w:spacing w:val="-9"/>
          <w:sz w:val="24"/>
        </w:rPr>
        <w:t> </w:t>
      </w:r>
      <w:r>
        <w:rPr>
          <w:rFonts w:ascii="Arial"/>
          <w:i/>
          <w:sz w:val="24"/>
        </w:rPr>
        <w:t>It:</w:t>
      </w:r>
      <w:r>
        <w:rPr>
          <w:rFonts w:ascii="Arial"/>
          <w:i/>
          <w:spacing w:val="-9"/>
          <w:sz w:val="24"/>
        </w:rPr>
        <w:t> </w:t>
      </w:r>
      <w:r>
        <w:rPr>
          <w:rFonts w:ascii="Arial"/>
          <w:i/>
          <w:color w:val="0000FF"/>
          <w:sz w:val="24"/>
          <w:u w:val="single" w:color="0000FF"/>
        </w:rPr>
        <w:t>English</w:t>
      </w:r>
      <w:r>
        <w:rPr>
          <w:rFonts w:ascii="Arial"/>
          <w:i/>
          <w:color w:val="0000FF"/>
          <w:sz w:val="24"/>
        </w:rPr>
        <w:t> </w:t>
      </w:r>
      <w:r>
        <w:rPr>
          <w:rFonts w:ascii="Arial"/>
          <w:i/>
          <w:sz w:val="24"/>
        </w:rPr>
        <w:t>Video: New Homebuyer Credit-Military: </w:t>
      </w:r>
      <w:r>
        <w:rPr>
          <w:rFonts w:ascii="Arial"/>
          <w:i/>
          <w:color w:val="0000FF"/>
          <w:sz w:val="24"/>
          <w:u w:val="single" w:color="0000FF"/>
        </w:rPr>
        <w:t>English</w:t>
      </w:r>
    </w:p>
    <w:p>
      <w:pPr>
        <w:pStyle w:val="BodyText"/>
        <w:spacing w:before="269"/>
        <w:ind w:left="863"/>
      </w:pPr>
      <w:r>
        <w:rPr>
          <w:spacing w:val="-2"/>
        </w:rPr>
        <w:t>FS-2010-6, January</w:t>
      </w:r>
      <w:r>
        <w:rPr>
          <w:spacing w:val="-1"/>
        </w:rPr>
        <w:t> </w:t>
      </w:r>
      <w:r>
        <w:rPr>
          <w:spacing w:val="-4"/>
        </w:rPr>
        <w:t>2010</w:t>
      </w:r>
    </w:p>
    <w:p>
      <w:pPr>
        <w:pStyle w:val="Heading1"/>
      </w:pPr>
      <w:r>
        <w:rPr/>
        <w:t>Tax Credit in </w:t>
      </w:r>
      <w:r>
        <w:rPr>
          <w:spacing w:val="-2"/>
        </w:rPr>
        <w:t>General</w:t>
      </w:r>
    </w:p>
    <w:p>
      <w:pPr>
        <w:pStyle w:val="BodyText"/>
        <w:spacing w:before="269"/>
        <w:ind w:left="863" w:right="625"/>
      </w:pPr>
      <w:r>
        <w:rPr/>
        <w:t>For first time homebuyers, there is a refundable credit equal to 10 percent of the purchase</w:t>
      </w:r>
      <w:r>
        <w:rPr>
          <w:spacing w:val="-3"/>
        </w:rPr>
        <w:t> </w:t>
      </w:r>
      <w:r>
        <w:rPr/>
        <w:t>price</w:t>
      </w:r>
      <w:r>
        <w:rPr>
          <w:spacing w:val="-3"/>
        </w:rPr>
        <w:t> </w:t>
      </w:r>
      <w:r>
        <w:rPr/>
        <w:t>up</w:t>
      </w:r>
      <w:r>
        <w:rPr>
          <w:spacing w:val="-3"/>
        </w:rPr>
        <w:t> </w:t>
      </w:r>
      <w:r>
        <w:rPr/>
        <w:t>to</w:t>
      </w:r>
      <w:r>
        <w:rPr>
          <w:spacing w:val="-3"/>
        </w:rPr>
        <w:t> </w:t>
      </w:r>
      <w:r>
        <w:rPr/>
        <w:t>a</w:t>
      </w:r>
      <w:r>
        <w:rPr>
          <w:spacing w:val="-3"/>
        </w:rPr>
        <w:t> </w:t>
      </w:r>
      <w:r>
        <w:rPr/>
        <w:t>maximum</w:t>
      </w:r>
      <w:r>
        <w:rPr>
          <w:spacing w:val="-3"/>
        </w:rPr>
        <w:t> </w:t>
      </w:r>
      <w:r>
        <w:rPr/>
        <w:t>of</w:t>
      </w:r>
      <w:r>
        <w:rPr>
          <w:spacing w:val="-3"/>
        </w:rPr>
        <w:t> </w:t>
      </w:r>
      <w:r>
        <w:rPr/>
        <w:t>$8,000</w:t>
      </w:r>
      <w:r>
        <w:rPr>
          <w:spacing w:val="-3"/>
        </w:rPr>
        <w:t> </w:t>
      </w:r>
      <w:r>
        <w:rPr/>
        <w:t>($4,000</w:t>
      </w:r>
      <w:r>
        <w:rPr>
          <w:spacing w:val="-3"/>
        </w:rPr>
        <w:t> </w:t>
      </w:r>
      <w:r>
        <w:rPr/>
        <w:t>if</w:t>
      </w:r>
      <w:r>
        <w:rPr>
          <w:spacing w:val="-3"/>
        </w:rPr>
        <w:t> </w:t>
      </w:r>
      <w:r>
        <w:rPr/>
        <w:t>married</w:t>
      </w:r>
      <w:r>
        <w:rPr>
          <w:spacing w:val="-3"/>
        </w:rPr>
        <w:t> </w:t>
      </w:r>
      <w:r>
        <w:rPr/>
        <w:t>filing</w:t>
      </w:r>
      <w:r>
        <w:rPr>
          <w:spacing w:val="-2"/>
        </w:rPr>
        <w:t> </w:t>
      </w:r>
      <w:r>
        <w:rPr/>
        <w:t>separately).</w:t>
      </w:r>
      <w:r>
        <w:rPr>
          <w:spacing w:val="-3"/>
        </w:rPr>
        <w:t> </w:t>
      </w:r>
      <w:r>
        <w:rPr/>
        <w:t>A</w:t>
      </w:r>
      <w:r>
        <w:rPr>
          <w:spacing w:val="-3"/>
        </w:rPr>
        <w:t> </w:t>
      </w:r>
      <w:r>
        <w:rPr/>
        <w:t>first- time homebuyer is an individual who, with his</w:t>
      </w:r>
      <w:r>
        <w:rPr>
          <w:spacing w:val="-2"/>
        </w:rPr>
        <w:t> </w:t>
      </w:r>
      <w:r>
        <w:rPr/>
        <w:t>or her spouse if married, has not owned any other principal residence for three years prior to the date of purchase of the new principal residence for which the credit is being claimed.</w:t>
      </w:r>
    </w:p>
    <w:p>
      <w:pPr>
        <w:pStyle w:val="BodyText"/>
        <w:spacing w:before="270"/>
        <w:ind w:left="863"/>
      </w:pPr>
      <w:r>
        <w:rPr/>
        <w:t>There</w:t>
      </w:r>
      <w:r>
        <w:rPr>
          <w:spacing w:val="-6"/>
        </w:rPr>
        <w:t> </w:t>
      </w:r>
      <w:r>
        <w:rPr/>
        <w:t>are</w:t>
      </w:r>
      <w:r>
        <w:rPr>
          <w:spacing w:val="-4"/>
        </w:rPr>
        <w:t> </w:t>
      </w:r>
      <w:r>
        <w:rPr/>
        <w:t>several</w:t>
      </w:r>
      <w:r>
        <w:rPr>
          <w:spacing w:val="-4"/>
        </w:rPr>
        <w:t> </w:t>
      </w:r>
      <w:r>
        <w:rPr/>
        <w:t>situations</w:t>
      </w:r>
      <w:r>
        <w:rPr>
          <w:spacing w:val="-4"/>
        </w:rPr>
        <w:t> </w:t>
      </w:r>
      <w:r>
        <w:rPr/>
        <w:t>in</w:t>
      </w:r>
      <w:r>
        <w:rPr>
          <w:spacing w:val="-4"/>
        </w:rPr>
        <w:t> </w:t>
      </w:r>
      <w:r>
        <w:rPr/>
        <w:t>which</w:t>
      </w:r>
      <w:r>
        <w:rPr>
          <w:spacing w:val="-3"/>
        </w:rPr>
        <w:t> </w:t>
      </w:r>
      <w:r>
        <w:rPr/>
        <w:t>a</w:t>
      </w:r>
      <w:r>
        <w:rPr>
          <w:spacing w:val="-4"/>
        </w:rPr>
        <w:t> </w:t>
      </w:r>
      <w:r>
        <w:rPr/>
        <w:t>taxpayer</w:t>
      </w:r>
      <w:r>
        <w:rPr>
          <w:spacing w:val="-4"/>
        </w:rPr>
        <w:t> </w:t>
      </w:r>
      <w:r>
        <w:rPr/>
        <w:t>cannot</w:t>
      </w:r>
      <w:r>
        <w:rPr>
          <w:spacing w:val="-4"/>
        </w:rPr>
        <w:t> </w:t>
      </w:r>
      <w:r>
        <w:rPr/>
        <w:t>claim</w:t>
      </w:r>
      <w:r>
        <w:rPr>
          <w:spacing w:val="-4"/>
        </w:rPr>
        <w:t> </w:t>
      </w:r>
      <w:r>
        <w:rPr/>
        <w:t>the</w:t>
      </w:r>
      <w:r>
        <w:rPr>
          <w:spacing w:val="-3"/>
        </w:rPr>
        <w:t> </w:t>
      </w:r>
      <w:r>
        <w:rPr>
          <w:spacing w:val="-2"/>
        </w:rPr>
        <w:t>credit:</w:t>
      </w:r>
    </w:p>
    <w:p>
      <w:pPr>
        <w:pStyle w:val="ListParagraph"/>
        <w:numPr>
          <w:ilvl w:val="0"/>
          <w:numId w:val="1"/>
        </w:numPr>
        <w:tabs>
          <w:tab w:pos="1583" w:val="left" w:leader="none"/>
        </w:tabs>
        <w:spacing w:line="240" w:lineRule="auto" w:before="271" w:after="0"/>
        <w:ind w:left="1583" w:right="0" w:hanging="360"/>
        <w:jc w:val="left"/>
        <w:rPr>
          <w:sz w:val="24"/>
        </w:rPr>
      </w:pPr>
      <w:r>
        <w:rPr>
          <w:sz w:val="24"/>
        </w:rPr>
        <w:t>The</w:t>
      </w:r>
      <w:r>
        <w:rPr>
          <w:spacing w:val="-4"/>
          <w:sz w:val="24"/>
        </w:rPr>
        <w:t> </w:t>
      </w:r>
      <w:r>
        <w:rPr>
          <w:sz w:val="24"/>
        </w:rPr>
        <w:t>taxpayer</w:t>
      </w:r>
      <w:r>
        <w:rPr>
          <w:spacing w:val="-4"/>
          <w:sz w:val="24"/>
        </w:rPr>
        <w:t> </w:t>
      </w:r>
      <w:r>
        <w:rPr>
          <w:sz w:val="24"/>
        </w:rPr>
        <w:t>is</w:t>
      </w:r>
      <w:r>
        <w:rPr>
          <w:spacing w:val="-3"/>
          <w:sz w:val="24"/>
        </w:rPr>
        <w:t> </w:t>
      </w:r>
      <w:r>
        <w:rPr>
          <w:sz w:val="24"/>
        </w:rPr>
        <w:t>a</w:t>
      </w:r>
      <w:r>
        <w:rPr>
          <w:spacing w:val="-4"/>
          <w:sz w:val="24"/>
        </w:rPr>
        <w:t> </w:t>
      </w:r>
      <w:r>
        <w:rPr>
          <w:sz w:val="24"/>
        </w:rPr>
        <w:t>nonresident</w:t>
      </w:r>
      <w:r>
        <w:rPr>
          <w:spacing w:val="-3"/>
          <w:sz w:val="24"/>
        </w:rPr>
        <w:t> </w:t>
      </w:r>
      <w:r>
        <w:rPr>
          <w:spacing w:val="-2"/>
          <w:sz w:val="24"/>
        </w:rPr>
        <w:t>alien;</w:t>
      </w:r>
    </w:p>
    <w:p>
      <w:pPr>
        <w:pStyle w:val="ListParagraph"/>
        <w:numPr>
          <w:ilvl w:val="0"/>
          <w:numId w:val="1"/>
        </w:numPr>
        <w:tabs>
          <w:tab w:pos="1583" w:val="left" w:leader="none"/>
        </w:tabs>
        <w:spacing w:line="240" w:lineRule="auto" w:before="267" w:after="0"/>
        <w:ind w:left="1583" w:right="0" w:hanging="360"/>
        <w:jc w:val="left"/>
        <w:rPr>
          <w:sz w:val="24"/>
        </w:rPr>
      </w:pPr>
      <w:r>
        <w:rPr>
          <w:sz w:val="24"/>
        </w:rPr>
        <w:t>The</w:t>
      </w:r>
      <w:r>
        <w:rPr>
          <w:spacing w:val="-7"/>
          <w:sz w:val="24"/>
        </w:rPr>
        <w:t> </w:t>
      </w:r>
      <w:r>
        <w:rPr>
          <w:sz w:val="24"/>
        </w:rPr>
        <w:t>taxpayer</w:t>
      </w:r>
      <w:r>
        <w:rPr>
          <w:spacing w:val="-4"/>
          <w:sz w:val="24"/>
        </w:rPr>
        <w:t> </w:t>
      </w:r>
      <w:r>
        <w:rPr>
          <w:sz w:val="24"/>
        </w:rPr>
        <w:t>purchases</w:t>
      </w:r>
      <w:r>
        <w:rPr>
          <w:spacing w:val="-4"/>
          <w:sz w:val="24"/>
        </w:rPr>
        <w:t> </w:t>
      </w:r>
      <w:r>
        <w:rPr>
          <w:sz w:val="24"/>
        </w:rPr>
        <w:t>a</w:t>
      </w:r>
      <w:r>
        <w:rPr>
          <w:spacing w:val="-4"/>
          <w:sz w:val="24"/>
        </w:rPr>
        <w:t> </w:t>
      </w:r>
      <w:r>
        <w:rPr>
          <w:sz w:val="24"/>
        </w:rPr>
        <w:t>home</w:t>
      </w:r>
      <w:r>
        <w:rPr>
          <w:spacing w:val="-6"/>
          <w:sz w:val="24"/>
        </w:rPr>
        <w:t> </w:t>
      </w:r>
      <w:r>
        <w:rPr>
          <w:sz w:val="24"/>
        </w:rPr>
        <w:t>located</w:t>
      </w:r>
      <w:r>
        <w:rPr>
          <w:spacing w:val="-4"/>
          <w:sz w:val="24"/>
        </w:rPr>
        <w:t> </w:t>
      </w:r>
      <w:r>
        <w:rPr>
          <w:sz w:val="24"/>
        </w:rPr>
        <w:t>outside</w:t>
      </w:r>
      <w:r>
        <w:rPr>
          <w:spacing w:val="-4"/>
          <w:sz w:val="24"/>
        </w:rPr>
        <w:t> </w:t>
      </w:r>
      <w:r>
        <w:rPr>
          <w:sz w:val="24"/>
        </w:rPr>
        <w:t>the</w:t>
      </w:r>
      <w:r>
        <w:rPr>
          <w:spacing w:val="-4"/>
          <w:sz w:val="24"/>
        </w:rPr>
        <w:t> </w:t>
      </w:r>
      <w:r>
        <w:rPr>
          <w:sz w:val="24"/>
        </w:rPr>
        <w:t>United</w:t>
      </w:r>
      <w:r>
        <w:rPr>
          <w:spacing w:val="-4"/>
          <w:sz w:val="24"/>
        </w:rPr>
        <w:t> </w:t>
      </w:r>
      <w:r>
        <w:rPr>
          <w:spacing w:val="-2"/>
          <w:sz w:val="24"/>
        </w:rPr>
        <w:t>States;</w:t>
      </w:r>
    </w:p>
    <w:p>
      <w:pPr>
        <w:pStyle w:val="ListParagraph"/>
        <w:numPr>
          <w:ilvl w:val="0"/>
          <w:numId w:val="1"/>
        </w:numPr>
        <w:tabs>
          <w:tab w:pos="1583" w:val="left" w:leader="none"/>
        </w:tabs>
        <w:spacing w:line="237" w:lineRule="auto" w:before="271" w:after="0"/>
        <w:ind w:left="1583" w:right="623" w:hanging="360"/>
        <w:jc w:val="left"/>
        <w:rPr>
          <w:sz w:val="24"/>
        </w:rPr>
      </w:pPr>
      <w:r>
        <w:rPr>
          <w:sz w:val="24"/>
        </w:rPr>
        <w:t>The</w:t>
      </w:r>
      <w:r>
        <w:rPr>
          <w:spacing w:val="-3"/>
          <w:sz w:val="24"/>
        </w:rPr>
        <w:t> </w:t>
      </w:r>
      <w:r>
        <w:rPr>
          <w:sz w:val="24"/>
        </w:rPr>
        <w:t>taxpayer</w:t>
      </w:r>
      <w:r>
        <w:rPr>
          <w:spacing w:val="-3"/>
          <w:sz w:val="24"/>
        </w:rPr>
        <w:t> </w:t>
      </w:r>
      <w:r>
        <w:rPr>
          <w:sz w:val="24"/>
        </w:rPr>
        <w:t>sells</w:t>
      </w:r>
      <w:r>
        <w:rPr>
          <w:spacing w:val="-3"/>
          <w:sz w:val="24"/>
        </w:rPr>
        <w:t> </w:t>
      </w:r>
      <w:r>
        <w:rPr>
          <w:sz w:val="24"/>
        </w:rPr>
        <w:t>the</w:t>
      </w:r>
      <w:r>
        <w:rPr>
          <w:spacing w:val="-3"/>
          <w:sz w:val="24"/>
        </w:rPr>
        <w:t> </w:t>
      </w:r>
      <w:r>
        <w:rPr>
          <w:sz w:val="24"/>
        </w:rPr>
        <w:t>home</w:t>
      </w:r>
      <w:r>
        <w:rPr>
          <w:spacing w:val="-3"/>
          <w:sz w:val="24"/>
        </w:rPr>
        <w:t> </w:t>
      </w:r>
      <w:r>
        <w:rPr>
          <w:sz w:val="24"/>
        </w:rPr>
        <w:t>or</w:t>
      </w:r>
      <w:r>
        <w:rPr>
          <w:spacing w:val="-3"/>
          <w:sz w:val="24"/>
        </w:rPr>
        <w:t> </w:t>
      </w:r>
      <w:r>
        <w:rPr>
          <w:sz w:val="24"/>
        </w:rPr>
        <w:t>if</w:t>
      </w:r>
      <w:r>
        <w:rPr>
          <w:spacing w:val="-3"/>
          <w:sz w:val="24"/>
        </w:rPr>
        <w:t> </w:t>
      </w:r>
      <w:r>
        <w:rPr>
          <w:sz w:val="24"/>
        </w:rPr>
        <w:t>it</w:t>
      </w:r>
      <w:r>
        <w:rPr>
          <w:spacing w:val="-2"/>
          <w:sz w:val="24"/>
        </w:rPr>
        <w:t> </w:t>
      </w:r>
      <w:r>
        <w:rPr>
          <w:sz w:val="24"/>
        </w:rPr>
        <w:t>stops</w:t>
      </w:r>
      <w:r>
        <w:rPr>
          <w:spacing w:val="-3"/>
          <w:sz w:val="24"/>
        </w:rPr>
        <w:t> </w:t>
      </w:r>
      <w:r>
        <w:rPr>
          <w:sz w:val="24"/>
        </w:rPr>
        <w:t>being</w:t>
      </w:r>
      <w:r>
        <w:rPr>
          <w:spacing w:val="-3"/>
          <w:sz w:val="24"/>
        </w:rPr>
        <w:t> </w:t>
      </w:r>
      <w:r>
        <w:rPr>
          <w:sz w:val="24"/>
        </w:rPr>
        <w:t>the</w:t>
      </w:r>
      <w:r>
        <w:rPr>
          <w:spacing w:val="-3"/>
          <w:sz w:val="24"/>
        </w:rPr>
        <w:t> </w:t>
      </w:r>
      <w:r>
        <w:rPr>
          <w:sz w:val="24"/>
        </w:rPr>
        <w:t>taxpayer’s</w:t>
      </w:r>
      <w:r>
        <w:rPr>
          <w:spacing w:val="-3"/>
          <w:sz w:val="24"/>
        </w:rPr>
        <w:t> </w:t>
      </w:r>
      <w:r>
        <w:rPr>
          <w:sz w:val="24"/>
        </w:rPr>
        <w:t>principal</w:t>
      </w:r>
      <w:r>
        <w:rPr>
          <w:spacing w:val="-3"/>
          <w:sz w:val="24"/>
        </w:rPr>
        <w:t> </w:t>
      </w:r>
      <w:r>
        <w:rPr>
          <w:sz w:val="24"/>
        </w:rPr>
        <w:t>residence in the year the taxpayer purchased the home;</w:t>
      </w:r>
    </w:p>
    <w:p>
      <w:pPr>
        <w:pStyle w:val="ListParagraph"/>
        <w:numPr>
          <w:ilvl w:val="0"/>
          <w:numId w:val="1"/>
        </w:numPr>
        <w:tabs>
          <w:tab w:pos="1584" w:val="left" w:leader="none"/>
        </w:tabs>
        <w:spacing w:line="240" w:lineRule="auto" w:before="271" w:after="0"/>
        <w:ind w:left="1584" w:right="940" w:hanging="360"/>
        <w:jc w:val="left"/>
        <w:rPr>
          <w:sz w:val="24"/>
        </w:rPr>
      </w:pPr>
      <w:r>
        <w:rPr>
          <w:sz w:val="24"/>
        </w:rPr>
        <w:t>The</w:t>
      </w:r>
      <w:r>
        <w:rPr>
          <w:spacing w:val="-3"/>
          <w:sz w:val="24"/>
        </w:rPr>
        <w:t> </w:t>
      </w:r>
      <w:r>
        <w:rPr>
          <w:sz w:val="24"/>
        </w:rPr>
        <w:t>taxpayer</w:t>
      </w:r>
      <w:r>
        <w:rPr>
          <w:spacing w:val="-3"/>
          <w:sz w:val="24"/>
        </w:rPr>
        <w:t> </w:t>
      </w:r>
      <w:r>
        <w:rPr>
          <w:sz w:val="24"/>
        </w:rPr>
        <w:t>receives</w:t>
      </w:r>
      <w:r>
        <w:rPr>
          <w:spacing w:val="-3"/>
          <w:sz w:val="24"/>
        </w:rPr>
        <w:t> </w:t>
      </w:r>
      <w:r>
        <w:rPr>
          <w:sz w:val="24"/>
        </w:rPr>
        <w:t>the</w:t>
      </w:r>
      <w:r>
        <w:rPr>
          <w:spacing w:val="-3"/>
          <w:sz w:val="24"/>
        </w:rPr>
        <w:t> </w:t>
      </w:r>
      <w:r>
        <w:rPr>
          <w:sz w:val="24"/>
        </w:rPr>
        <w:t>home,</w:t>
      </w:r>
      <w:r>
        <w:rPr>
          <w:spacing w:val="-3"/>
          <w:sz w:val="24"/>
        </w:rPr>
        <w:t> </w:t>
      </w:r>
      <w:r>
        <w:rPr>
          <w:sz w:val="24"/>
        </w:rPr>
        <w:t>or</w:t>
      </w:r>
      <w:r>
        <w:rPr>
          <w:spacing w:val="-3"/>
          <w:sz w:val="24"/>
        </w:rPr>
        <w:t> </w:t>
      </w:r>
      <w:r>
        <w:rPr>
          <w:sz w:val="24"/>
        </w:rPr>
        <w:t>any</w:t>
      </w:r>
      <w:r>
        <w:rPr>
          <w:spacing w:val="-4"/>
          <w:sz w:val="24"/>
        </w:rPr>
        <w:t> </w:t>
      </w:r>
      <w:r>
        <w:rPr>
          <w:sz w:val="24"/>
        </w:rPr>
        <w:t>portion</w:t>
      </w:r>
      <w:r>
        <w:rPr>
          <w:spacing w:val="-3"/>
          <w:sz w:val="24"/>
        </w:rPr>
        <w:t> </w:t>
      </w:r>
      <w:r>
        <w:rPr>
          <w:sz w:val="24"/>
        </w:rPr>
        <w:t>of</w:t>
      </w:r>
      <w:r>
        <w:rPr>
          <w:spacing w:val="-3"/>
          <w:sz w:val="24"/>
        </w:rPr>
        <w:t> </w:t>
      </w:r>
      <w:r>
        <w:rPr>
          <w:sz w:val="24"/>
        </w:rPr>
        <w:t>the</w:t>
      </w:r>
      <w:r>
        <w:rPr>
          <w:spacing w:val="-3"/>
          <w:sz w:val="24"/>
        </w:rPr>
        <w:t> </w:t>
      </w:r>
      <w:r>
        <w:rPr>
          <w:sz w:val="24"/>
        </w:rPr>
        <w:t>home,</w:t>
      </w:r>
      <w:r>
        <w:rPr>
          <w:spacing w:val="-3"/>
          <w:sz w:val="24"/>
        </w:rPr>
        <w:t> </w:t>
      </w:r>
      <w:r>
        <w:rPr>
          <w:sz w:val="24"/>
        </w:rPr>
        <w:t>as</w:t>
      </w:r>
      <w:r>
        <w:rPr>
          <w:spacing w:val="-3"/>
          <w:sz w:val="24"/>
        </w:rPr>
        <w:t> </w:t>
      </w:r>
      <w:r>
        <w:rPr>
          <w:sz w:val="24"/>
        </w:rPr>
        <w:t>a</w:t>
      </w:r>
      <w:r>
        <w:rPr>
          <w:spacing w:val="-3"/>
          <w:sz w:val="24"/>
        </w:rPr>
        <w:t> </w:t>
      </w:r>
      <w:r>
        <w:rPr>
          <w:sz w:val="24"/>
        </w:rPr>
        <w:t>gift</w:t>
      </w:r>
      <w:r>
        <w:rPr>
          <w:spacing w:val="-3"/>
          <w:sz w:val="24"/>
        </w:rPr>
        <w:t> </w:t>
      </w:r>
      <w:r>
        <w:rPr>
          <w:sz w:val="24"/>
        </w:rPr>
        <w:t>or</w:t>
      </w:r>
      <w:r>
        <w:rPr>
          <w:spacing w:val="-3"/>
          <w:sz w:val="24"/>
        </w:rPr>
        <w:t> </w:t>
      </w:r>
      <w:r>
        <w:rPr>
          <w:sz w:val="24"/>
        </w:rPr>
        <w:t>as</w:t>
      </w:r>
      <w:r>
        <w:rPr>
          <w:spacing w:val="-3"/>
          <w:sz w:val="24"/>
        </w:rPr>
        <w:t> </w:t>
      </w:r>
      <w:r>
        <w:rPr>
          <w:sz w:val="24"/>
        </w:rPr>
        <w:t>an inheritance; and</w:t>
      </w:r>
    </w:p>
    <w:p>
      <w:pPr>
        <w:pStyle w:val="ListParagraph"/>
        <w:numPr>
          <w:ilvl w:val="0"/>
          <w:numId w:val="1"/>
        </w:numPr>
        <w:tabs>
          <w:tab w:pos="1583" w:val="left" w:leader="none"/>
        </w:tabs>
        <w:spacing w:line="240" w:lineRule="auto" w:before="269" w:after="0"/>
        <w:ind w:left="1583" w:right="0" w:hanging="359"/>
        <w:jc w:val="left"/>
        <w:rPr>
          <w:sz w:val="24"/>
        </w:rPr>
      </w:pPr>
      <w:r>
        <w:rPr>
          <w:sz w:val="24"/>
        </w:rPr>
        <w:t>The</w:t>
      </w:r>
      <w:r>
        <w:rPr>
          <w:spacing w:val="-4"/>
          <w:sz w:val="24"/>
        </w:rPr>
        <w:t> </w:t>
      </w:r>
      <w:r>
        <w:rPr>
          <w:sz w:val="24"/>
        </w:rPr>
        <w:t>taxpayer</w:t>
      </w:r>
      <w:r>
        <w:rPr>
          <w:spacing w:val="-4"/>
          <w:sz w:val="24"/>
        </w:rPr>
        <w:t> </w:t>
      </w:r>
      <w:r>
        <w:rPr>
          <w:sz w:val="24"/>
        </w:rPr>
        <w:t>exceeds</w:t>
      </w:r>
      <w:r>
        <w:rPr>
          <w:spacing w:val="-4"/>
          <w:sz w:val="24"/>
        </w:rPr>
        <w:t> </w:t>
      </w:r>
      <w:r>
        <w:rPr>
          <w:sz w:val="24"/>
        </w:rPr>
        <w:t>the</w:t>
      </w:r>
      <w:r>
        <w:rPr>
          <w:spacing w:val="-4"/>
          <w:sz w:val="24"/>
        </w:rPr>
        <w:t> </w:t>
      </w:r>
      <w:r>
        <w:rPr>
          <w:sz w:val="24"/>
        </w:rPr>
        <w:t>income</w:t>
      </w:r>
      <w:r>
        <w:rPr>
          <w:spacing w:val="-3"/>
          <w:sz w:val="24"/>
        </w:rPr>
        <w:t> </w:t>
      </w:r>
      <w:r>
        <w:rPr>
          <w:spacing w:val="-2"/>
          <w:sz w:val="24"/>
        </w:rPr>
        <w:t>limits.</w:t>
      </w:r>
    </w:p>
    <w:p>
      <w:pPr>
        <w:pStyle w:val="BodyText"/>
        <w:spacing w:before="267"/>
        <w:ind w:left="863" w:right="625"/>
      </w:pPr>
      <w:r>
        <w:rPr/>
        <w:t>The Worker, Homeownership, and Business Assistance Act of 2009 extended and expanded the tax credit for first time homebuyers that had been created in 2008. The new law extends the deadline for qualifying home purchases from Nov. 30, 2009, to April</w:t>
      </w:r>
      <w:r>
        <w:rPr>
          <w:spacing w:val="-2"/>
        </w:rPr>
        <w:t> </w:t>
      </w:r>
      <w:r>
        <w:rPr/>
        <w:t>30,</w:t>
      </w:r>
      <w:r>
        <w:rPr>
          <w:spacing w:val="-2"/>
        </w:rPr>
        <w:t> </w:t>
      </w:r>
      <w:r>
        <w:rPr/>
        <w:t>2010.</w:t>
      </w:r>
      <w:r>
        <w:rPr>
          <w:spacing w:val="-2"/>
        </w:rPr>
        <w:t> </w:t>
      </w:r>
      <w:r>
        <w:rPr/>
        <w:t>If</w:t>
      </w:r>
      <w:r>
        <w:rPr>
          <w:spacing w:val="-2"/>
        </w:rPr>
        <w:t> </w:t>
      </w:r>
      <w:r>
        <w:rPr/>
        <w:t>a</w:t>
      </w:r>
      <w:r>
        <w:rPr>
          <w:spacing w:val="-2"/>
        </w:rPr>
        <w:t> </w:t>
      </w:r>
      <w:r>
        <w:rPr/>
        <w:t>buyer</w:t>
      </w:r>
      <w:r>
        <w:rPr>
          <w:spacing w:val="-2"/>
        </w:rPr>
        <w:t> </w:t>
      </w:r>
      <w:r>
        <w:rPr/>
        <w:t>enters</w:t>
      </w:r>
      <w:r>
        <w:rPr>
          <w:spacing w:val="-2"/>
        </w:rPr>
        <w:t> </w:t>
      </w:r>
      <w:r>
        <w:rPr/>
        <w:t>into</w:t>
      </w:r>
      <w:r>
        <w:rPr>
          <w:spacing w:val="-2"/>
        </w:rPr>
        <w:t> </w:t>
      </w:r>
      <w:r>
        <w:rPr/>
        <w:t>a</w:t>
      </w:r>
      <w:r>
        <w:rPr>
          <w:spacing w:val="-2"/>
        </w:rPr>
        <w:t> </w:t>
      </w:r>
      <w:r>
        <w:rPr/>
        <w:t>binding</w:t>
      </w:r>
      <w:r>
        <w:rPr>
          <w:spacing w:val="-5"/>
        </w:rPr>
        <w:t> </w:t>
      </w:r>
      <w:r>
        <w:rPr/>
        <w:t>contract</w:t>
      </w:r>
      <w:r>
        <w:rPr>
          <w:spacing w:val="-2"/>
        </w:rPr>
        <w:t> </w:t>
      </w:r>
      <w:r>
        <w:rPr/>
        <w:t>by</w:t>
      </w:r>
      <w:r>
        <w:rPr>
          <w:spacing w:val="-2"/>
        </w:rPr>
        <w:t> </w:t>
      </w:r>
      <w:r>
        <w:rPr/>
        <w:t>April</w:t>
      </w:r>
      <w:r>
        <w:rPr>
          <w:spacing w:val="-2"/>
        </w:rPr>
        <w:t> </w:t>
      </w:r>
      <w:r>
        <w:rPr/>
        <w:t>30,</w:t>
      </w:r>
      <w:r>
        <w:rPr>
          <w:spacing w:val="-2"/>
        </w:rPr>
        <w:t> </w:t>
      </w:r>
      <w:r>
        <w:rPr/>
        <w:t>2010,</w:t>
      </w:r>
      <w:r>
        <w:rPr>
          <w:spacing w:val="-2"/>
        </w:rPr>
        <w:t> </w:t>
      </w:r>
      <w:r>
        <w:rPr/>
        <w:t>the</w:t>
      </w:r>
      <w:r>
        <w:rPr>
          <w:spacing w:val="-2"/>
        </w:rPr>
        <w:t> </w:t>
      </w:r>
      <w:r>
        <w:rPr/>
        <w:t>buyer</w:t>
      </w:r>
      <w:r>
        <w:rPr>
          <w:spacing w:val="-2"/>
        </w:rPr>
        <w:t> </w:t>
      </w:r>
      <w:r>
        <w:rPr/>
        <w:t>has until June 30, 2010, to settle on the purchase.</w:t>
      </w:r>
    </w:p>
    <w:p>
      <w:pPr>
        <w:pStyle w:val="BodyText"/>
        <w:spacing w:before="270"/>
        <w:ind w:left="863" w:right="625"/>
      </w:pPr>
      <w:r>
        <w:rPr/>
        <w:t>Members of the Armed Forces and certain federal employees serving outside the U.S. have</w:t>
      </w:r>
      <w:r>
        <w:rPr>
          <w:spacing w:val="-1"/>
        </w:rPr>
        <w:t> </w:t>
      </w:r>
      <w:r>
        <w:rPr/>
        <w:t>an</w:t>
      </w:r>
      <w:r>
        <w:rPr>
          <w:spacing w:val="-1"/>
        </w:rPr>
        <w:t> </w:t>
      </w:r>
      <w:r>
        <w:rPr/>
        <w:t>extra</w:t>
      </w:r>
      <w:r>
        <w:rPr>
          <w:spacing w:val="-1"/>
        </w:rPr>
        <w:t> </w:t>
      </w:r>
      <w:r>
        <w:rPr/>
        <w:t>year</w:t>
      </w:r>
      <w:r>
        <w:rPr>
          <w:spacing w:val="-1"/>
        </w:rPr>
        <w:t> </w:t>
      </w:r>
      <w:r>
        <w:rPr/>
        <w:t>to</w:t>
      </w:r>
      <w:r>
        <w:rPr>
          <w:spacing w:val="-1"/>
        </w:rPr>
        <w:t> </w:t>
      </w:r>
      <w:r>
        <w:rPr/>
        <w:t>buy</w:t>
      </w:r>
      <w:r>
        <w:rPr>
          <w:spacing w:val="-1"/>
        </w:rPr>
        <w:t> </w:t>
      </w:r>
      <w:r>
        <w:rPr/>
        <w:t>a</w:t>
      </w:r>
      <w:r>
        <w:rPr>
          <w:spacing w:val="-1"/>
        </w:rPr>
        <w:t> </w:t>
      </w:r>
      <w:r>
        <w:rPr/>
        <w:t>principal</w:t>
      </w:r>
      <w:r>
        <w:rPr>
          <w:spacing w:val="-1"/>
        </w:rPr>
        <w:t> </w:t>
      </w:r>
      <w:r>
        <w:rPr/>
        <w:t>residence</w:t>
      </w:r>
      <w:r>
        <w:rPr>
          <w:spacing w:val="-1"/>
        </w:rPr>
        <w:t> </w:t>
      </w:r>
      <w:r>
        <w:rPr/>
        <w:t>in</w:t>
      </w:r>
      <w:r>
        <w:rPr>
          <w:spacing w:val="-1"/>
        </w:rPr>
        <w:t> </w:t>
      </w:r>
      <w:r>
        <w:rPr/>
        <w:t>the</w:t>
      </w:r>
      <w:r>
        <w:rPr>
          <w:spacing w:val="-1"/>
        </w:rPr>
        <w:t> </w:t>
      </w:r>
      <w:r>
        <w:rPr/>
        <w:t>U.S.</w:t>
      </w:r>
      <w:r>
        <w:rPr>
          <w:spacing w:val="-2"/>
        </w:rPr>
        <w:t> </w:t>
      </w:r>
      <w:r>
        <w:rPr/>
        <w:t>and</w:t>
      </w:r>
      <w:r>
        <w:rPr>
          <w:spacing w:val="-1"/>
        </w:rPr>
        <w:t> </w:t>
      </w:r>
      <w:r>
        <w:rPr/>
        <w:t>still</w:t>
      </w:r>
      <w:r>
        <w:rPr>
          <w:spacing w:val="-1"/>
        </w:rPr>
        <w:t> </w:t>
      </w:r>
      <w:r>
        <w:rPr/>
        <w:t>qualify</w:t>
      </w:r>
      <w:r>
        <w:rPr>
          <w:spacing w:val="-1"/>
        </w:rPr>
        <w:t> </w:t>
      </w:r>
      <w:r>
        <w:rPr/>
        <w:t>for</w:t>
      </w:r>
      <w:r>
        <w:rPr>
          <w:spacing w:val="-1"/>
        </w:rPr>
        <w:t> </w:t>
      </w:r>
      <w:r>
        <w:rPr/>
        <w:t>the</w:t>
      </w:r>
      <w:r>
        <w:rPr>
          <w:spacing w:val="-1"/>
        </w:rPr>
        <w:t> </w:t>
      </w:r>
      <w:r>
        <w:rPr/>
        <w:t>credit. An</w:t>
      </w:r>
      <w:r>
        <w:rPr>
          <w:spacing w:val="-2"/>
        </w:rPr>
        <w:t> </w:t>
      </w:r>
      <w:r>
        <w:rPr/>
        <w:t>eligible</w:t>
      </w:r>
      <w:r>
        <w:rPr>
          <w:spacing w:val="-2"/>
        </w:rPr>
        <w:t> </w:t>
      </w:r>
      <w:r>
        <w:rPr/>
        <w:t>taxpayer</w:t>
      </w:r>
      <w:r>
        <w:rPr>
          <w:spacing w:val="-2"/>
        </w:rPr>
        <w:t> </w:t>
      </w:r>
      <w:r>
        <w:rPr/>
        <w:t>must</w:t>
      </w:r>
      <w:r>
        <w:rPr>
          <w:spacing w:val="-2"/>
        </w:rPr>
        <w:t> </w:t>
      </w:r>
      <w:r>
        <w:rPr/>
        <w:t>buy</w:t>
      </w:r>
      <w:r>
        <w:rPr>
          <w:spacing w:val="-5"/>
        </w:rPr>
        <w:t> </w:t>
      </w:r>
      <w:r>
        <w:rPr/>
        <w:t>or</w:t>
      </w:r>
      <w:r>
        <w:rPr>
          <w:spacing w:val="-2"/>
        </w:rPr>
        <w:t> </w:t>
      </w:r>
      <w:r>
        <w:rPr/>
        <w:t>enter</w:t>
      </w:r>
      <w:r>
        <w:rPr>
          <w:spacing w:val="-2"/>
        </w:rPr>
        <w:t> </w:t>
      </w:r>
      <w:r>
        <w:rPr/>
        <w:t>into</w:t>
      </w:r>
      <w:r>
        <w:rPr>
          <w:spacing w:val="-2"/>
        </w:rPr>
        <w:t> </w:t>
      </w:r>
      <w:r>
        <w:rPr/>
        <w:t>a</w:t>
      </w:r>
      <w:r>
        <w:rPr>
          <w:spacing w:val="-2"/>
        </w:rPr>
        <w:t> </w:t>
      </w:r>
      <w:r>
        <w:rPr/>
        <w:t>binding</w:t>
      </w:r>
      <w:r>
        <w:rPr>
          <w:spacing w:val="-2"/>
        </w:rPr>
        <w:t> </w:t>
      </w:r>
      <w:r>
        <w:rPr/>
        <w:t>contract</w:t>
      </w:r>
      <w:r>
        <w:rPr>
          <w:spacing w:val="-2"/>
        </w:rPr>
        <w:t> </w:t>
      </w:r>
      <w:r>
        <w:rPr/>
        <w:t>to</w:t>
      </w:r>
      <w:r>
        <w:rPr>
          <w:spacing w:val="-2"/>
        </w:rPr>
        <w:t> </w:t>
      </w:r>
      <w:r>
        <w:rPr/>
        <w:t>buy</w:t>
      </w:r>
      <w:r>
        <w:rPr>
          <w:spacing w:val="-2"/>
        </w:rPr>
        <w:t> </w:t>
      </w:r>
      <w:r>
        <w:rPr/>
        <w:t>a</w:t>
      </w:r>
      <w:r>
        <w:rPr>
          <w:spacing w:val="-2"/>
        </w:rPr>
        <w:t> </w:t>
      </w:r>
      <w:r>
        <w:rPr/>
        <w:t>home</w:t>
      </w:r>
      <w:r>
        <w:rPr>
          <w:spacing w:val="-2"/>
        </w:rPr>
        <w:t> </w:t>
      </w:r>
      <w:r>
        <w:rPr/>
        <w:t>by</w:t>
      </w:r>
      <w:r>
        <w:rPr>
          <w:spacing w:val="-2"/>
        </w:rPr>
        <w:t> </w:t>
      </w:r>
      <w:r>
        <w:rPr/>
        <w:t>April</w:t>
      </w:r>
      <w:r>
        <w:rPr>
          <w:spacing w:val="-2"/>
        </w:rPr>
        <w:t> </w:t>
      </w:r>
      <w:r>
        <w:rPr/>
        <w:t>30, 2011, and settle on the purchase by June 30, 2011.</w:t>
      </w:r>
    </w:p>
    <w:p>
      <w:pPr>
        <w:pStyle w:val="Heading1"/>
      </w:pPr>
      <w:r>
        <w:rPr/>
        <w:t>Purchases</w:t>
      </w:r>
      <w:r>
        <w:rPr>
          <w:spacing w:val="-7"/>
        </w:rPr>
        <w:t> </w:t>
      </w:r>
      <w:r>
        <w:rPr/>
        <w:t>made</w:t>
      </w:r>
      <w:r>
        <w:rPr>
          <w:spacing w:val="-5"/>
        </w:rPr>
        <w:t> </w:t>
      </w:r>
      <w:r>
        <w:rPr/>
        <w:t>after</w:t>
      </w:r>
      <w:r>
        <w:rPr>
          <w:spacing w:val="-4"/>
        </w:rPr>
        <w:t> </w:t>
      </w:r>
      <w:r>
        <w:rPr/>
        <w:t>November</w:t>
      </w:r>
      <w:r>
        <w:rPr>
          <w:spacing w:val="-5"/>
        </w:rPr>
        <w:t> </w:t>
      </w:r>
      <w:r>
        <w:rPr/>
        <w:t>6,</w:t>
      </w:r>
      <w:r>
        <w:rPr>
          <w:spacing w:val="-4"/>
        </w:rPr>
        <w:t> 2009</w:t>
      </w:r>
    </w:p>
    <w:p>
      <w:pPr>
        <w:pStyle w:val="Heading1"/>
        <w:spacing w:after="0"/>
        <w:sectPr>
          <w:headerReference w:type="default" r:id="rId5"/>
          <w:type w:val="continuous"/>
          <w:pgSz w:w="12240" w:h="15840"/>
          <w:pgMar w:header="725" w:footer="0" w:top="980" w:bottom="280" w:left="720" w:right="720"/>
          <w:pgNumType w:start="1"/>
        </w:sectPr>
      </w:pPr>
    </w:p>
    <w:p>
      <w:pPr>
        <w:pStyle w:val="BodyText"/>
        <w:spacing w:before="73"/>
        <w:rPr>
          <w:rFonts w:ascii="Arial"/>
          <w:b/>
        </w:rPr>
      </w:pPr>
    </w:p>
    <w:p>
      <w:pPr>
        <w:pStyle w:val="BodyText"/>
        <w:ind w:left="864" w:right="625"/>
      </w:pPr>
      <w:r>
        <w:rPr/>
        <w:t>Taxpayers</w:t>
      </w:r>
      <w:r>
        <w:rPr>
          <w:spacing w:val="-3"/>
        </w:rPr>
        <w:t> </w:t>
      </w:r>
      <w:r>
        <w:rPr/>
        <w:t>should</w:t>
      </w:r>
      <w:r>
        <w:rPr>
          <w:spacing w:val="-3"/>
        </w:rPr>
        <w:t> </w:t>
      </w:r>
      <w:r>
        <w:rPr/>
        <w:t>be</w:t>
      </w:r>
      <w:r>
        <w:rPr>
          <w:spacing w:val="-3"/>
        </w:rPr>
        <w:t> </w:t>
      </w:r>
      <w:r>
        <w:rPr/>
        <w:t>aware</w:t>
      </w:r>
      <w:r>
        <w:rPr>
          <w:spacing w:val="-3"/>
        </w:rPr>
        <w:t> </w:t>
      </w:r>
      <w:r>
        <w:rPr/>
        <w:t>of</w:t>
      </w:r>
      <w:r>
        <w:rPr>
          <w:spacing w:val="-3"/>
        </w:rPr>
        <w:t> </w:t>
      </w:r>
      <w:r>
        <w:rPr/>
        <w:t>some</w:t>
      </w:r>
      <w:r>
        <w:rPr>
          <w:spacing w:val="-3"/>
        </w:rPr>
        <w:t> </w:t>
      </w:r>
      <w:r>
        <w:rPr/>
        <w:t>changes</w:t>
      </w:r>
      <w:r>
        <w:rPr>
          <w:spacing w:val="-4"/>
        </w:rPr>
        <w:t> </w:t>
      </w:r>
      <w:r>
        <w:rPr/>
        <w:t>to</w:t>
      </w:r>
      <w:r>
        <w:rPr>
          <w:spacing w:val="-3"/>
        </w:rPr>
        <w:t> </w:t>
      </w:r>
      <w:r>
        <w:rPr/>
        <w:t>the</w:t>
      </w:r>
      <w:r>
        <w:rPr>
          <w:spacing w:val="-3"/>
        </w:rPr>
        <w:t> </w:t>
      </w:r>
      <w:r>
        <w:rPr/>
        <w:t>law</w:t>
      </w:r>
      <w:r>
        <w:rPr>
          <w:spacing w:val="-3"/>
        </w:rPr>
        <w:t> </w:t>
      </w:r>
      <w:r>
        <w:rPr/>
        <w:t>that</w:t>
      </w:r>
      <w:r>
        <w:rPr>
          <w:spacing w:val="-3"/>
        </w:rPr>
        <w:t> </w:t>
      </w:r>
      <w:r>
        <w:rPr/>
        <w:t>apply</w:t>
      </w:r>
      <w:r>
        <w:rPr>
          <w:spacing w:val="-3"/>
        </w:rPr>
        <w:t> </w:t>
      </w:r>
      <w:r>
        <w:rPr/>
        <w:t>to</w:t>
      </w:r>
      <w:r>
        <w:rPr>
          <w:spacing w:val="-3"/>
        </w:rPr>
        <w:t> </w:t>
      </w:r>
      <w:r>
        <w:rPr/>
        <w:t>home</w:t>
      </w:r>
      <w:r>
        <w:rPr>
          <w:spacing w:val="-3"/>
        </w:rPr>
        <w:t> </w:t>
      </w:r>
      <w:r>
        <w:rPr/>
        <w:t>purchases after November 6, 2009, the date of enactment of the new law.</w:t>
      </w:r>
    </w:p>
    <w:p>
      <w:pPr>
        <w:pStyle w:val="BodyText"/>
        <w:spacing w:before="270"/>
        <w:ind w:left="864" w:right="656"/>
      </w:pPr>
      <w:r>
        <w:rPr/>
        <w:t>The new law expands the tax credit to include not just first-time buyers but also </w:t>
      </w:r>
      <w:r>
        <w:rPr>
          <w:rFonts w:ascii="Arial"/>
          <w:b/>
        </w:rPr>
        <w:t>long- time residents </w:t>
      </w:r>
      <w:r>
        <w:rPr/>
        <w:t>who buy a new principal residence. They are eligible for a credit of 10 percent</w:t>
      </w:r>
      <w:r>
        <w:rPr>
          <w:spacing w:val="-3"/>
        </w:rPr>
        <w:t> </w:t>
      </w:r>
      <w:r>
        <w:rPr/>
        <w:t>of</w:t>
      </w:r>
      <w:r>
        <w:rPr>
          <w:spacing w:val="-3"/>
        </w:rPr>
        <w:t> </w:t>
      </w:r>
      <w:r>
        <w:rPr/>
        <w:t>the</w:t>
      </w:r>
      <w:r>
        <w:rPr>
          <w:spacing w:val="-3"/>
        </w:rPr>
        <w:t> </w:t>
      </w:r>
      <w:r>
        <w:rPr/>
        <w:t>purchase</w:t>
      </w:r>
      <w:r>
        <w:rPr>
          <w:spacing w:val="-3"/>
        </w:rPr>
        <w:t> </w:t>
      </w:r>
      <w:r>
        <w:rPr/>
        <w:t>price</w:t>
      </w:r>
      <w:r>
        <w:rPr>
          <w:spacing w:val="-3"/>
        </w:rPr>
        <w:t> </w:t>
      </w:r>
      <w:r>
        <w:rPr/>
        <w:t>up</w:t>
      </w:r>
      <w:r>
        <w:rPr>
          <w:spacing w:val="-3"/>
        </w:rPr>
        <w:t> </w:t>
      </w:r>
      <w:r>
        <w:rPr/>
        <w:t>to</w:t>
      </w:r>
      <w:r>
        <w:rPr>
          <w:spacing w:val="-3"/>
        </w:rPr>
        <w:t> </w:t>
      </w:r>
      <w:r>
        <w:rPr/>
        <w:t>a</w:t>
      </w:r>
      <w:r>
        <w:rPr>
          <w:spacing w:val="-3"/>
        </w:rPr>
        <w:t> </w:t>
      </w:r>
      <w:r>
        <w:rPr/>
        <w:t>maximum</w:t>
      </w:r>
      <w:r>
        <w:rPr>
          <w:spacing w:val="-3"/>
        </w:rPr>
        <w:t> </w:t>
      </w:r>
      <w:r>
        <w:rPr/>
        <w:t>credit</w:t>
      </w:r>
      <w:r>
        <w:rPr>
          <w:spacing w:val="-3"/>
        </w:rPr>
        <w:t> </w:t>
      </w:r>
      <w:r>
        <w:rPr/>
        <w:t>of</w:t>
      </w:r>
      <w:r>
        <w:rPr>
          <w:spacing w:val="-3"/>
        </w:rPr>
        <w:t> </w:t>
      </w:r>
      <w:r>
        <w:rPr/>
        <w:t>$6,500.</w:t>
      </w:r>
      <w:r>
        <w:rPr>
          <w:spacing w:val="-3"/>
        </w:rPr>
        <w:t> </w:t>
      </w:r>
      <w:r>
        <w:rPr/>
        <w:t>A</w:t>
      </w:r>
      <w:r>
        <w:rPr>
          <w:spacing w:val="-3"/>
        </w:rPr>
        <w:t> </w:t>
      </w:r>
      <w:r>
        <w:rPr/>
        <w:t>long-time</w:t>
      </w:r>
      <w:r>
        <w:rPr>
          <w:spacing w:val="-3"/>
        </w:rPr>
        <w:t> </w:t>
      </w:r>
      <w:r>
        <w:rPr/>
        <w:t>resident</w:t>
      </w:r>
      <w:r>
        <w:rPr>
          <w:spacing w:val="-3"/>
        </w:rPr>
        <w:t> </w:t>
      </w:r>
      <w:r>
        <w:rPr/>
        <w:t>is an individual who, with his or her spouse if married, has owned and used the same home as a principal residence for any period of 5 consecutive years during the 8-year period ending on the date of purchase of the new principal residence for which the credit is being claimed.</w:t>
      </w:r>
    </w:p>
    <w:p>
      <w:pPr>
        <w:pStyle w:val="Heading1"/>
        <w:spacing w:before="272"/>
        <w:ind w:left="864"/>
      </w:pPr>
      <w:r>
        <w:rPr/>
        <w:t>Income</w:t>
      </w:r>
      <w:r>
        <w:rPr>
          <w:spacing w:val="-5"/>
        </w:rPr>
        <w:t> </w:t>
      </w:r>
      <w:r>
        <w:rPr>
          <w:spacing w:val="-2"/>
        </w:rPr>
        <w:t>Limitation</w:t>
      </w:r>
    </w:p>
    <w:p>
      <w:pPr>
        <w:pStyle w:val="BodyText"/>
        <w:spacing w:before="268"/>
        <w:ind w:left="864" w:right="625"/>
      </w:pPr>
      <w:r>
        <w:rPr/>
        <w:t>For people who purchase homes after Nov. 6, the full credit will be available to taxpayers</w:t>
      </w:r>
      <w:r>
        <w:rPr>
          <w:spacing w:val="-4"/>
        </w:rPr>
        <w:t> </w:t>
      </w:r>
      <w:r>
        <w:rPr/>
        <w:t>with</w:t>
      </w:r>
      <w:r>
        <w:rPr>
          <w:spacing w:val="-4"/>
        </w:rPr>
        <w:t> </w:t>
      </w:r>
      <w:r>
        <w:rPr/>
        <w:t>a</w:t>
      </w:r>
      <w:r>
        <w:rPr>
          <w:spacing w:val="-4"/>
        </w:rPr>
        <w:t> </w:t>
      </w:r>
      <w:r>
        <w:rPr/>
        <w:t>modified</w:t>
      </w:r>
      <w:r>
        <w:rPr>
          <w:spacing w:val="-4"/>
        </w:rPr>
        <w:t> </w:t>
      </w:r>
      <w:r>
        <w:rPr/>
        <w:t>adjusted</w:t>
      </w:r>
      <w:r>
        <w:rPr>
          <w:spacing w:val="-4"/>
        </w:rPr>
        <w:t> </w:t>
      </w:r>
      <w:r>
        <w:rPr/>
        <w:t>gross</w:t>
      </w:r>
      <w:r>
        <w:rPr>
          <w:spacing w:val="-4"/>
        </w:rPr>
        <w:t> </w:t>
      </w:r>
      <w:r>
        <w:rPr/>
        <w:t>income</w:t>
      </w:r>
      <w:r>
        <w:rPr>
          <w:spacing w:val="-4"/>
        </w:rPr>
        <w:t> </w:t>
      </w:r>
      <w:r>
        <w:rPr/>
        <w:t>(MAGI)</w:t>
      </w:r>
      <w:r>
        <w:rPr>
          <w:spacing w:val="-4"/>
        </w:rPr>
        <w:t> </w:t>
      </w:r>
      <w:r>
        <w:rPr/>
        <w:t>up</w:t>
      </w:r>
      <w:r>
        <w:rPr>
          <w:spacing w:val="-4"/>
        </w:rPr>
        <w:t> </w:t>
      </w:r>
      <w:r>
        <w:rPr/>
        <w:t>to</w:t>
      </w:r>
      <w:r>
        <w:rPr>
          <w:spacing w:val="-4"/>
        </w:rPr>
        <w:t> </w:t>
      </w:r>
      <w:r>
        <w:rPr/>
        <w:t>$125,000,</w:t>
      </w:r>
      <w:r>
        <w:rPr>
          <w:spacing w:val="-4"/>
        </w:rPr>
        <w:t> </w:t>
      </w:r>
      <w:r>
        <w:rPr/>
        <w:t>or</w:t>
      </w:r>
      <w:r>
        <w:rPr>
          <w:spacing w:val="-4"/>
        </w:rPr>
        <w:t> </w:t>
      </w:r>
      <w:r>
        <w:rPr/>
        <w:t>$225,000 for joint filers. MAGI is your adjusted gross income plus the total of certain foreign earned income. Those with MAGI between $125,000 and $145,000, or $225,000 and</w:t>
      </w:r>
    </w:p>
    <w:p>
      <w:pPr>
        <w:pStyle w:val="BodyText"/>
        <w:ind w:left="864" w:right="625"/>
      </w:pPr>
      <w:r>
        <w:rPr/>
        <w:t>$245,000</w:t>
      </w:r>
      <w:r>
        <w:rPr>
          <w:spacing w:val="-3"/>
        </w:rPr>
        <w:t> </w:t>
      </w:r>
      <w:r>
        <w:rPr/>
        <w:t>for</w:t>
      </w:r>
      <w:r>
        <w:rPr>
          <w:spacing w:val="-3"/>
        </w:rPr>
        <w:t> </w:t>
      </w:r>
      <w:r>
        <w:rPr/>
        <w:t>joint</w:t>
      </w:r>
      <w:r>
        <w:rPr>
          <w:spacing w:val="-3"/>
        </w:rPr>
        <w:t> </w:t>
      </w:r>
      <w:r>
        <w:rPr/>
        <w:t>filers,</w:t>
      </w:r>
      <w:r>
        <w:rPr>
          <w:spacing w:val="-3"/>
        </w:rPr>
        <w:t> </w:t>
      </w:r>
      <w:r>
        <w:rPr/>
        <w:t>are</w:t>
      </w:r>
      <w:r>
        <w:rPr>
          <w:spacing w:val="-3"/>
        </w:rPr>
        <w:t> </w:t>
      </w:r>
      <w:r>
        <w:rPr/>
        <w:t>eligible</w:t>
      </w:r>
      <w:r>
        <w:rPr>
          <w:spacing w:val="-3"/>
        </w:rPr>
        <w:t> </w:t>
      </w:r>
      <w:r>
        <w:rPr/>
        <w:t>for</w:t>
      </w:r>
      <w:r>
        <w:rPr>
          <w:spacing w:val="-3"/>
        </w:rPr>
        <w:t> </w:t>
      </w:r>
      <w:r>
        <w:rPr/>
        <w:t>a</w:t>
      </w:r>
      <w:r>
        <w:rPr>
          <w:spacing w:val="-5"/>
        </w:rPr>
        <w:t> </w:t>
      </w:r>
      <w:r>
        <w:rPr/>
        <w:t>reduced</w:t>
      </w:r>
      <w:r>
        <w:rPr>
          <w:spacing w:val="-3"/>
        </w:rPr>
        <w:t> </w:t>
      </w:r>
      <w:r>
        <w:rPr/>
        <w:t>credit.</w:t>
      </w:r>
      <w:r>
        <w:rPr>
          <w:spacing w:val="-3"/>
        </w:rPr>
        <w:t> </w:t>
      </w:r>
      <w:r>
        <w:rPr/>
        <w:t>Those</w:t>
      </w:r>
      <w:r>
        <w:rPr>
          <w:spacing w:val="-3"/>
        </w:rPr>
        <w:t> </w:t>
      </w:r>
      <w:r>
        <w:rPr/>
        <w:t>with</w:t>
      </w:r>
      <w:r>
        <w:rPr>
          <w:spacing w:val="-3"/>
        </w:rPr>
        <w:t> </w:t>
      </w:r>
      <w:r>
        <w:rPr/>
        <w:t>higher</w:t>
      </w:r>
      <w:r>
        <w:rPr>
          <w:spacing w:val="-3"/>
        </w:rPr>
        <w:t> </w:t>
      </w:r>
      <w:r>
        <w:rPr/>
        <w:t>incomes</w:t>
      </w:r>
      <w:r>
        <w:rPr>
          <w:spacing w:val="-3"/>
        </w:rPr>
        <w:t> </w:t>
      </w:r>
      <w:r>
        <w:rPr/>
        <w:t>do not qualify.</w:t>
      </w:r>
    </w:p>
    <w:p>
      <w:pPr>
        <w:pStyle w:val="BodyText"/>
        <w:spacing w:before="270"/>
        <w:ind w:left="864" w:right="530"/>
      </w:pPr>
      <w:r>
        <w:rPr/>
        <w:t>However, for homes purchased before Nov. 7, 2009, existing income limits remain in place. The full credit is available to taxpayers with MAGI up to $75,000, or $150,000 for joint filers. Those with MAGI between $75,000 and $95,000, or $150,000 and $170,000 for</w:t>
      </w:r>
      <w:r>
        <w:rPr>
          <w:spacing w:val="-3"/>
        </w:rPr>
        <w:t> </w:t>
      </w:r>
      <w:r>
        <w:rPr/>
        <w:t>joint</w:t>
      </w:r>
      <w:r>
        <w:rPr>
          <w:spacing w:val="-3"/>
        </w:rPr>
        <w:t> </w:t>
      </w:r>
      <w:r>
        <w:rPr/>
        <w:t>filers,</w:t>
      </w:r>
      <w:r>
        <w:rPr>
          <w:spacing w:val="-3"/>
        </w:rPr>
        <w:t> </w:t>
      </w:r>
      <w:r>
        <w:rPr/>
        <w:t>are</w:t>
      </w:r>
      <w:r>
        <w:rPr>
          <w:spacing w:val="-3"/>
        </w:rPr>
        <w:t> </w:t>
      </w:r>
      <w:r>
        <w:rPr/>
        <w:t>eligible</w:t>
      </w:r>
      <w:r>
        <w:rPr>
          <w:spacing w:val="-3"/>
        </w:rPr>
        <w:t> </w:t>
      </w:r>
      <w:r>
        <w:rPr/>
        <w:t>for</w:t>
      </w:r>
      <w:r>
        <w:rPr>
          <w:spacing w:val="-3"/>
        </w:rPr>
        <w:t> </w:t>
      </w:r>
      <w:r>
        <w:rPr/>
        <w:t>a</w:t>
      </w:r>
      <w:r>
        <w:rPr>
          <w:spacing w:val="-3"/>
        </w:rPr>
        <w:t> </w:t>
      </w:r>
      <w:r>
        <w:rPr/>
        <w:t>reduced</w:t>
      </w:r>
      <w:r>
        <w:rPr>
          <w:spacing w:val="-3"/>
        </w:rPr>
        <w:t> </w:t>
      </w:r>
      <w:r>
        <w:rPr/>
        <w:t>credit.</w:t>
      </w:r>
      <w:r>
        <w:rPr>
          <w:spacing w:val="-3"/>
        </w:rPr>
        <w:t> </w:t>
      </w:r>
      <w:r>
        <w:rPr/>
        <w:t>Those</w:t>
      </w:r>
      <w:r>
        <w:rPr>
          <w:spacing w:val="-3"/>
        </w:rPr>
        <w:t> </w:t>
      </w:r>
      <w:r>
        <w:rPr/>
        <w:t>with</w:t>
      </w:r>
      <w:r>
        <w:rPr>
          <w:spacing w:val="-3"/>
        </w:rPr>
        <w:t> </w:t>
      </w:r>
      <w:r>
        <w:rPr/>
        <w:t>higher</w:t>
      </w:r>
      <w:r>
        <w:rPr>
          <w:spacing w:val="-3"/>
        </w:rPr>
        <w:t> </w:t>
      </w:r>
      <w:r>
        <w:rPr/>
        <w:t>incomes</w:t>
      </w:r>
      <w:r>
        <w:rPr>
          <w:spacing w:val="-3"/>
        </w:rPr>
        <w:t> </w:t>
      </w:r>
      <w:r>
        <w:rPr/>
        <w:t>do</w:t>
      </w:r>
      <w:r>
        <w:rPr>
          <w:spacing w:val="-3"/>
        </w:rPr>
        <w:t> </w:t>
      </w:r>
      <w:r>
        <w:rPr/>
        <w:t>not</w:t>
      </w:r>
      <w:r>
        <w:rPr>
          <w:spacing w:val="-3"/>
        </w:rPr>
        <w:t> </w:t>
      </w:r>
      <w:r>
        <w:rPr/>
        <w:t>qualify.</w:t>
      </w:r>
    </w:p>
    <w:p>
      <w:pPr>
        <w:pStyle w:val="BodyText"/>
        <w:spacing w:before="271"/>
        <w:ind w:left="864"/>
      </w:pPr>
      <w:r>
        <w:rPr/>
        <w:t>Several</w:t>
      </w:r>
      <w:r>
        <w:rPr>
          <w:spacing w:val="-3"/>
        </w:rPr>
        <w:t> </w:t>
      </w:r>
      <w:r>
        <w:rPr/>
        <w:t>new</w:t>
      </w:r>
      <w:r>
        <w:rPr>
          <w:spacing w:val="-3"/>
        </w:rPr>
        <w:t> </w:t>
      </w:r>
      <w:r>
        <w:rPr/>
        <w:t>restrictions</w:t>
      </w:r>
      <w:r>
        <w:rPr>
          <w:spacing w:val="-3"/>
        </w:rPr>
        <w:t> </w:t>
      </w:r>
      <w:r>
        <w:rPr/>
        <w:t>apply</w:t>
      </w:r>
      <w:r>
        <w:rPr>
          <w:spacing w:val="-2"/>
        </w:rPr>
        <w:t> </w:t>
      </w:r>
      <w:r>
        <w:rPr/>
        <w:t>to</w:t>
      </w:r>
      <w:r>
        <w:rPr>
          <w:spacing w:val="-3"/>
        </w:rPr>
        <w:t> </w:t>
      </w:r>
      <w:r>
        <w:rPr/>
        <w:t>purchases</w:t>
      </w:r>
      <w:r>
        <w:rPr>
          <w:spacing w:val="-3"/>
        </w:rPr>
        <w:t> </w:t>
      </w:r>
      <w:r>
        <w:rPr/>
        <w:t>that</w:t>
      </w:r>
      <w:r>
        <w:rPr>
          <w:spacing w:val="-2"/>
        </w:rPr>
        <w:t> </w:t>
      </w:r>
      <w:r>
        <w:rPr/>
        <w:t>occur</w:t>
      </w:r>
      <w:r>
        <w:rPr>
          <w:spacing w:val="-3"/>
        </w:rPr>
        <w:t> </w:t>
      </w:r>
      <w:r>
        <w:rPr/>
        <w:t>after</w:t>
      </w:r>
      <w:r>
        <w:rPr>
          <w:spacing w:val="-3"/>
        </w:rPr>
        <w:t> </w:t>
      </w:r>
      <w:r>
        <w:rPr/>
        <w:t>Nov,</w:t>
      </w:r>
      <w:r>
        <w:rPr>
          <w:spacing w:val="-2"/>
        </w:rPr>
        <w:t> </w:t>
      </w:r>
      <w:r>
        <w:rPr>
          <w:spacing w:val="-5"/>
        </w:rPr>
        <w:t>6:</w:t>
      </w:r>
    </w:p>
    <w:p>
      <w:pPr>
        <w:pStyle w:val="ListParagraph"/>
        <w:numPr>
          <w:ilvl w:val="0"/>
          <w:numId w:val="1"/>
        </w:numPr>
        <w:tabs>
          <w:tab w:pos="1583" w:val="left" w:leader="none"/>
        </w:tabs>
        <w:spacing w:line="240" w:lineRule="auto" w:before="270" w:after="0"/>
        <w:ind w:left="1583" w:right="0" w:hanging="359"/>
        <w:jc w:val="left"/>
        <w:rPr>
          <w:sz w:val="24"/>
        </w:rPr>
      </w:pPr>
      <w:r>
        <w:rPr>
          <w:sz w:val="24"/>
        </w:rPr>
        <w:t>Dependents</w:t>
      </w:r>
      <w:r>
        <w:rPr>
          <w:spacing w:val="-3"/>
          <w:sz w:val="24"/>
        </w:rPr>
        <w:t> </w:t>
      </w:r>
      <w:r>
        <w:rPr>
          <w:sz w:val="24"/>
        </w:rPr>
        <w:t>are</w:t>
      </w:r>
      <w:r>
        <w:rPr>
          <w:spacing w:val="-2"/>
          <w:sz w:val="24"/>
        </w:rPr>
        <w:t> </w:t>
      </w:r>
      <w:r>
        <w:rPr>
          <w:sz w:val="24"/>
        </w:rPr>
        <w:t>not</w:t>
      </w:r>
      <w:r>
        <w:rPr>
          <w:spacing w:val="-2"/>
          <w:sz w:val="24"/>
        </w:rPr>
        <w:t> </w:t>
      </w:r>
      <w:r>
        <w:rPr>
          <w:sz w:val="24"/>
        </w:rPr>
        <w:t>eligible</w:t>
      </w:r>
      <w:r>
        <w:rPr>
          <w:spacing w:val="-3"/>
          <w:sz w:val="24"/>
        </w:rPr>
        <w:t> </w:t>
      </w:r>
      <w:r>
        <w:rPr>
          <w:sz w:val="24"/>
        </w:rPr>
        <w:t>to</w:t>
      </w:r>
      <w:r>
        <w:rPr>
          <w:spacing w:val="-2"/>
          <w:sz w:val="24"/>
        </w:rPr>
        <w:t> </w:t>
      </w:r>
      <w:r>
        <w:rPr>
          <w:sz w:val="24"/>
        </w:rPr>
        <w:t>claim</w:t>
      </w:r>
      <w:r>
        <w:rPr>
          <w:spacing w:val="-2"/>
          <w:sz w:val="24"/>
        </w:rPr>
        <w:t> </w:t>
      </w:r>
      <w:r>
        <w:rPr>
          <w:sz w:val="24"/>
        </w:rPr>
        <w:t>the</w:t>
      </w:r>
      <w:r>
        <w:rPr>
          <w:spacing w:val="-2"/>
          <w:sz w:val="24"/>
        </w:rPr>
        <w:t> credit;</w:t>
      </w:r>
    </w:p>
    <w:p>
      <w:pPr>
        <w:pStyle w:val="ListParagraph"/>
        <w:numPr>
          <w:ilvl w:val="0"/>
          <w:numId w:val="1"/>
        </w:numPr>
        <w:tabs>
          <w:tab w:pos="1583" w:val="left" w:leader="none"/>
        </w:tabs>
        <w:spacing w:line="240" w:lineRule="auto" w:before="268" w:after="0"/>
        <w:ind w:left="1583" w:right="0" w:hanging="359"/>
        <w:jc w:val="left"/>
        <w:rPr>
          <w:sz w:val="24"/>
        </w:rPr>
      </w:pPr>
      <w:r>
        <w:rPr>
          <w:sz w:val="24"/>
        </w:rPr>
        <w:t>No</w:t>
      </w:r>
      <w:r>
        <w:rPr>
          <w:spacing w:val="-5"/>
          <w:sz w:val="24"/>
        </w:rPr>
        <w:t> </w:t>
      </w:r>
      <w:r>
        <w:rPr>
          <w:sz w:val="24"/>
        </w:rPr>
        <w:t>credit</w:t>
      </w:r>
      <w:r>
        <w:rPr>
          <w:spacing w:val="-4"/>
          <w:sz w:val="24"/>
        </w:rPr>
        <w:t> </w:t>
      </w:r>
      <w:r>
        <w:rPr>
          <w:sz w:val="24"/>
        </w:rPr>
        <w:t>is</w:t>
      </w:r>
      <w:r>
        <w:rPr>
          <w:spacing w:val="-4"/>
          <w:sz w:val="24"/>
        </w:rPr>
        <w:t> </w:t>
      </w:r>
      <w:r>
        <w:rPr>
          <w:sz w:val="24"/>
        </w:rPr>
        <w:t>available</w:t>
      </w:r>
      <w:r>
        <w:rPr>
          <w:spacing w:val="-4"/>
          <w:sz w:val="24"/>
        </w:rPr>
        <w:t> </w:t>
      </w:r>
      <w:r>
        <w:rPr>
          <w:sz w:val="24"/>
        </w:rPr>
        <w:t>if</w:t>
      </w:r>
      <w:r>
        <w:rPr>
          <w:spacing w:val="-2"/>
          <w:sz w:val="24"/>
        </w:rPr>
        <w:t> </w:t>
      </w:r>
      <w:r>
        <w:rPr>
          <w:sz w:val="24"/>
        </w:rPr>
        <w:t>the</w:t>
      </w:r>
      <w:r>
        <w:rPr>
          <w:spacing w:val="-4"/>
          <w:sz w:val="24"/>
        </w:rPr>
        <w:t> </w:t>
      </w:r>
      <w:r>
        <w:rPr>
          <w:sz w:val="24"/>
        </w:rPr>
        <w:t>purchase</w:t>
      </w:r>
      <w:r>
        <w:rPr>
          <w:spacing w:val="-4"/>
          <w:sz w:val="24"/>
        </w:rPr>
        <w:t> </w:t>
      </w:r>
      <w:r>
        <w:rPr>
          <w:sz w:val="24"/>
        </w:rPr>
        <w:t>price</w:t>
      </w:r>
      <w:r>
        <w:rPr>
          <w:spacing w:val="-4"/>
          <w:sz w:val="24"/>
        </w:rPr>
        <w:t> </w:t>
      </w:r>
      <w:r>
        <w:rPr>
          <w:sz w:val="24"/>
        </w:rPr>
        <w:t>of</w:t>
      </w:r>
      <w:r>
        <w:rPr>
          <w:spacing w:val="-5"/>
          <w:sz w:val="24"/>
        </w:rPr>
        <w:t> </w:t>
      </w:r>
      <w:r>
        <w:rPr>
          <w:sz w:val="24"/>
        </w:rPr>
        <w:t>a</w:t>
      </w:r>
      <w:r>
        <w:rPr>
          <w:spacing w:val="-4"/>
          <w:sz w:val="24"/>
        </w:rPr>
        <w:t> </w:t>
      </w:r>
      <w:r>
        <w:rPr>
          <w:sz w:val="24"/>
        </w:rPr>
        <w:t>home</w:t>
      </w:r>
      <w:r>
        <w:rPr>
          <w:spacing w:val="-4"/>
          <w:sz w:val="24"/>
        </w:rPr>
        <w:t> </w:t>
      </w:r>
      <w:r>
        <w:rPr>
          <w:sz w:val="24"/>
        </w:rPr>
        <w:t>is</w:t>
      </w:r>
      <w:r>
        <w:rPr>
          <w:spacing w:val="-4"/>
          <w:sz w:val="24"/>
        </w:rPr>
        <w:t> </w:t>
      </w:r>
      <w:r>
        <w:rPr>
          <w:sz w:val="24"/>
        </w:rPr>
        <w:t>more</w:t>
      </w:r>
      <w:r>
        <w:rPr>
          <w:spacing w:val="-4"/>
          <w:sz w:val="24"/>
        </w:rPr>
        <w:t> </w:t>
      </w:r>
      <w:r>
        <w:rPr>
          <w:sz w:val="24"/>
        </w:rPr>
        <w:t>than</w:t>
      </w:r>
      <w:r>
        <w:rPr>
          <w:spacing w:val="-4"/>
          <w:sz w:val="24"/>
        </w:rPr>
        <w:t> </w:t>
      </w:r>
      <w:r>
        <w:rPr>
          <w:sz w:val="24"/>
        </w:rPr>
        <w:t>$800,000;</w:t>
      </w:r>
      <w:r>
        <w:rPr>
          <w:spacing w:val="-4"/>
          <w:sz w:val="24"/>
        </w:rPr>
        <w:t> </w:t>
      </w:r>
      <w:r>
        <w:rPr>
          <w:spacing w:val="-5"/>
          <w:sz w:val="24"/>
        </w:rPr>
        <w:t>and</w:t>
      </w:r>
    </w:p>
    <w:p>
      <w:pPr>
        <w:pStyle w:val="ListParagraph"/>
        <w:numPr>
          <w:ilvl w:val="0"/>
          <w:numId w:val="1"/>
        </w:numPr>
        <w:tabs>
          <w:tab w:pos="1583" w:val="left" w:leader="none"/>
        </w:tabs>
        <w:spacing w:line="240" w:lineRule="auto" w:before="269" w:after="0"/>
        <w:ind w:left="1583" w:right="0" w:hanging="359"/>
        <w:jc w:val="left"/>
        <w:rPr>
          <w:sz w:val="24"/>
        </w:rPr>
      </w:pPr>
      <w:r>
        <w:rPr>
          <w:sz w:val="24"/>
        </w:rPr>
        <w:t>A</w:t>
      </w:r>
      <w:r>
        <w:rPr>
          <w:spacing w:val="-3"/>
          <w:sz w:val="24"/>
        </w:rPr>
        <w:t> </w:t>
      </w:r>
      <w:r>
        <w:rPr>
          <w:sz w:val="24"/>
        </w:rPr>
        <w:t>purchaser</w:t>
      </w:r>
      <w:r>
        <w:rPr>
          <w:spacing w:val="-3"/>
          <w:sz w:val="24"/>
        </w:rPr>
        <w:t> </w:t>
      </w:r>
      <w:r>
        <w:rPr>
          <w:sz w:val="24"/>
        </w:rPr>
        <w:t>must</w:t>
      </w:r>
      <w:r>
        <w:rPr>
          <w:spacing w:val="-2"/>
          <w:sz w:val="24"/>
        </w:rPr>
        <w:t> </w:t>
      </w:r>
      <w:r>
        <w:rPr>
          <w:sz w:val="24"/>
        </w:rPr>
        <w:t>be</w:t>
      </w:r>
      <w:r>
        <w:rPr>
          <w:spacing w:val="-3"/>
          <w:sz w:val="24"/>
        </w:rPr>
        <w:t> </w:t>
      </w:r>
      <w:r>
        <w:rPr>
          <w:sz w:val="24"/>
        </w:rPr>
        <w:t>at</w:t>
      </w:r>
      <w:r>
        <w:rPr>
          <w:spacing w:val="-3"/>
          <w:sz w:val="24"/>
        </w:rPr>
        <w:t> </w:t>
      </w:r>
      <w:r>
        <w:rPr>
          <w:sz w:val="24"/>
        </w:rPr>
        <w:t>least</w:t>
      </w:r>
      <w:r>
        <w:rPr>
          <w:spacing w:val="-2"/>
          <w:sz w:val="24"/>
        </w:rPr>
        <w:t> </w:t>
      </w:r>
      <w:r>
        <w:rPr>
          <w:sz w:val="24"/>
        </w:rPr>
        <w:t>18</w:t>
      </w:r>
      <w:r>
        <w:rPr>
          <w:spacing w:val="-3"/>
          <w:sz w:val="24"/>
        </w:rPr>
        <w:t> </w:t>
      </w:r>
      <w:r>
        <w:rPr>
          <w:sz w:val="24"/>
        </w:rPr>
        <w:t>years</w:t>
      </w:r>
      <w:r>
        <w:rPr>
          <w:spacing w:val="-2"/>
          <w:sz w:val="24"/>
        </w:rPr>
        <w:t> </w:t>
      </w:r>
      <w:r>
        <w:rPr>
          <w:sz w:val="24"/>
        </w:rPr>
        <w:t>of</w:t>
      </w:r>
      <w:r>
        <w:rPr>
          <w:spacing w:val="-3"/>
          <w:sz w:val="24"/>
        </w:rPr>
        <w:t> </w:t>
      </w:r>
      <w:r>
        <w:rPr>
          <w:sz w:val="24"/>
        </w:rPr>
        <w:t>age</w:t>
      </w:r>
      <w:r>
        <w:rPr>
          <w:spacing w:val="-3"/>
          <w:sz w:val="24"/>
        </w:rPr>
        <w:t> </w:t>
      </w:r>
      <w:r>
        <w:rPr>
          <w:sz w:val="24"/>
        </w:rPr>
        <w:t>on</w:t>
      </w:r>
      <w:r>
        <w:rPr>
          <w:spacing w:val="-2"/>
          <w:sz w:val="24"/>
        </w:rPr>
        <w:t> </w:t>
      </w:r>
      <w:r>
        <w:rPr>
          <w:sz w:val="24"/>
        </w:rPr>
        <w:t>the</w:t>
      </w:r>
      <w:r>
        <w:rPr>
          <w:spacing w:val="-3"/>
          <w:sz w:val="24"/>
        </w:rPr>
        <w:t> </w:t>
      </w:r>
      <w:r>
        <w:rPr>
          <w:sz w:val="24"/>
        </w:rPr>
        <w:t>date</w:t>
      </w:r>
      <w:r>
        <w:rPr>
          <w:spacing w:val="-3"/>
          <w:sz w:val="24"/>
        </w:rPr>
        <w:t> </w:t>
      </w:r>
      <w:r>
        <w:rPr>
          <w:sz w:val="24"/>
        </w:rPr>
        <w:t>of</w:t>
      </w:r>
      <w:r>
        <w:rPr>
          <w:spacing w:val="-2"/>
          <w:sz w:val="24"/>
        </w:rPr>
        <w:t> purchase.</w:t>
      </w:r>
    </w:p>
    <w:p>
      <w:pPr>
        <w:pStyle w:val="Heading1"/>
        <w:spacing w:before="268"/>
        <w:ind w:left="864"/>
      </w:pPr>
      <w:r>
        <w:rPr/>
        <w:t>Credit</w:t>
      </w:r>
      <w:r>
        <w:rPr>
          <w:spacing w:val="-3"/>
        </w:rPr>
        <w:t> </w:t>
      </w:r>
      <w:r>
        <w:rPr/>
        <w:t>Claimed</w:t>
      </w:r>
      <w:r>
        <w:rPr>
          <w:spacing w:val="-3"/>
        </w:rPr>
        <w:t> </w:t>
      </w:r>
      <w:r>
        <w:rPr/>
        <w:t>on</w:t>
      </w:r>
      <w:r>
        <w:rPr>
          <w:spacing w:val="-2"/>
        </w:rPr>
        <w:t> </w:t>
      </w:r>
      <w:r>
        <w:rPr/>
        <w:t>a</w:t>
      </w:r>
      <w:r>
        <w:rPr>
          <w:spacing w:val="-3"/>
        </w:rPr>
        <w:t> </w:t>
      </w:r>
      <w:r>
        <w:rPr/>
        <w:t>2009</w:t>
      </w:r>
      <w:r>
        <w:rPr>
          <w:spacing w:val="-3"/>
        </w:rPr>
        <w:t> </w:t>
      </w:r>
      <w:r>
        <w:rPr/>
        <w:t>or</w:t>
      </w:r>
      <w:r>
        <w:rPr>
          <w:spacing w:val="-2"/>
        </w:rPr>
        <w:t> </w:t>
      </w:r>
      <w:r>
        <w:rPr/>
        <w:t>2010</w:t>
      </w:r>
      <w:r>
        <w:rPr>
          <w:spacing w:val="-3"/>
        </w:rPr>
        <w:t> </w:t>
      </w:r>
      <w:r>
        <w:rPr/>
        <w:t>Tax</w:t>
      </w:r>
      <w:r>
        <w:rPr>
          <w:spacing w:val="-2"/>
        </w:rPr>
        <w:t> Return</w:t>
      </w:r>
    </w:p>
    <w:p>
      <w:pPr>
        <w:pStyle w:val="BodyText"/>
        <w:spacing w:before="269"/>
        <w:ind w:left="864" w:right="625"/>
      </w:pPr>
      <w:r>
        <w:rPr/>
        <w:t>For</w:t>
      </w:r>
      <w:r>
        <w:rPr>
          <w:spacing w:val="-3"/>
        </w:rPr>
        <w:t> </w:t>
      </w:r>
      <w:r>
        <w:rPr/>
        <w:t>all</w:t>
      </w:r>
      <w:r>
        <w:rPr>
          <w:spacing w:val="-3"/>
        </w:rPr>
        <w:t> </w:t>
      </w:r>
      <w:r>
        <w:rPr/>
        <w:t>qualifying</w:t>
      </w:r>
      <w:r>
        <w:rPr>
          <w:spacing w:val="-3"/>
        </w:rPr>
        <w:t> </w:t>
      </w:r>
      <w:r>
        <w:rPr/>
        <w:t>purchases</w:t>
      </w:r>
      <w:r>
        <w:rPr>
          <w:spacing w:val="-3"/>
        </w:rPr>
        <w:t> </w:t>
      </w:r>
      <w:r>
        <w:rPr/>
        <w:t>in</w:t>
      </w:r>
      <w:r>
        <w:rPr>
          <w:spacing w:val="-3"/>
        </w:rPr>
        <w:t> </w:t>
      </w:r>
      <w:r>
        <w:rPr/>
        <w:t>2010,</w:t>
      </w:r>
      <w:r>
        <w:rPr>
          <w:spacing w:val="-3"/>
        </w:rPr>
        <w:t> </w:t>
      </w:r>
      <w:r>
        <w:rPr/>
        <w:t>taxpayers</w:t>
      </w:r>
      <w:r>
        <w:rPr>
          <w:spacing w:val="-3"/>
        </w:rPr>
        <w:t> </w:t>
      </w:r>
      <w:r>
        <w:rPr/>
        <w:t>have</w:t>
      </w:r>
      <w:r>
        <w:rPr>
          <w:spacing w:val="-3"/>
        </w:rPr>
        <w:t> </w:t>
      </w:r>
      <w:r>
        <w:rPr/>
        <w:t>the</w:t>
      </w:r>
      <w:r>
        <w:rPr>
          <w:spacing w:val="-3"/>
        </w:rPr>
        <w:t> </w:t>
      </w:r>
      <w:r>
        <w:rPr/>
        <w:t>option</w:t>
      </w:r>
      <w:r>
        <w:rPr>
          <w:spacing w:val="-3"/>
        </w:rPr>
        <w:t> </w:t>
      </w:r>
      <w:r>
        <w:rPr/>
        <w:t>of</w:t>
      </w:r>
      <w:r>
        <w:rPr>
          <w:spacing w:val="-3"/>
        </w:rPr>
        <w:t> </w:t>
      </w:r>
      <w:r>
        <w:rPr/>
        <w:t>claiming</w:t>
      </w:r>
      <w:r>
        <w:rPr>
          <w:spacing w:val="-3"/>
        </w:rPr>
        <w:t> </w:t>
      </w:r>
      <w:r>
        <w:rPr/>
        <w:t>the</w:t>
      </w:r>
      <w:r>
        <w:rPr>
          <w:spacing w:val="-3"/>
        </w:rPr>
        <w:t> </w:t>
      </w:r>
      <w:r>
        <w:rPr/>
        <w:t>credit</w:t>
      </w:r>
      <w:r>
        <w:rPr>
          <w:spacing w:val="-3"/>
        </w:rPr>
        <w:t> </w:t>
      </w:r>
      <w:r>
        <w:rPr/>
        <w:t>on either their 2009 or 2010 tax returns.</w:t>
      </w:r>
    </w:p>
    <w:p>
      <w:pPr>
        <w:pStyle w:val="BodyText"/>
        <w:spacing w:before="270"/>
        <w:ind w:left="864" w:right="530"/>
      </w:pPr>
      <w:r>
        <w:rPr/>
        <w:t>A new version of Form 5405, First-Time Homebuyer Credit, is available for taxpayers who purchased a home after Nov. 6; this new version of the form must be used to claim the credit. Likewise, taxpayers claiming the credit on their 2009 returns, no matter when the</w:t>
      </w:r>
      <w:r>
        <w:rPr>
          <w:spacing w:val="-3"/>
        </w:rPr>
        <w:t> </w:t>
      </w:r>
      <w:r>
        <w:rPr/>
        <w:t>house</w:t>
      </w:r>
      <w:r>
        <w:rPr>
          <w:spacing w:val="-3"/>
        </w:rPr>
        <w:t> </w:t>
      </w:r>
      <w:r>
        <w:rPr/>
        <w:t>was</w:t>
      </w:r>
      <w:r>
        <w:rPr>
          <w:spacing w:val="-3"/>
        </w:rPr>
        <w:t> </w:t>
      </w:r>
      <w:r>
        <w:rPr/>
        <w:t>purchased,</w:t>
      </w:r>
      <w:r>
        <w:rPr>
          <w:spacing w:val="-3"/>
        </w:rPr>
        <w:t> </w:t>
      </w:r>
      <w:r>
        <w:rPr/>
        <w:t>must</w:t>
      </w:r>
      <w:r>
        <w:rPr>
          <w:spacing w:val="-3"/>
        </w:rPr>
        <w:t> </w:t>
      </w:r>
      <w:r>
        <w:rPr/>
        <w:t>also</w:t>
      </w:r>
      <w:r>
        <w:rPr>
          <w:spacing w:val="-3"/>
        </w:rPr>
        <w:t> </w:t>
      </w:r>
      <w:r>
        <w:rPr/>
        <w:t>use</w:t>
      </w:r>
      <w:r>
        <w:rPr>
          <w:spacing w:val="-3"/>
        </w:rPr>
        <w:t> </w:t>
      </w:r>
      <w:r>
        <w:rPr/>
        <w:t>the</w:t>
      </w:r>
      <w:r>
        <w:rPr>
          <w:spacing w:val="-3"/>
        </w:rPr>
        <w:t> </w:t>
      </w:r>
      <w:r>
        <w:rPr/>
        <w:t>new</w:t>
      </w:r>
      <w:r>
        <w:rPr>
          <w:spacing w:val="-3"/>
        </w:rPr>
        <w:t> </w:t>
      </w:r>
      <w:r>
        <w:rPr/>
        <w:t>version</w:t>
      </w:r>
      <w:r>
        <w:rPr>
          <w:spacing w:val="-3"/>
        </w:rPr>
        <w:t> </w:t>
      </w:r>
      <w:r>
        <w:rPr/>
        <w:t>of</w:t>
      </w:r>
      <w:r>
        <w:rPr>
          <w:spacing w:val="-3"/>
        </w:rPr>
        <w:t> </w:t>
      </w:r>
      <w:r>
        <w:rPr/>
        <w:t>Form</w:t>
      </w:r>
      <w:r>
        <w:rPr>
          <w:spacing w:val="-3"/>
        </w:rPr>
        <w:t> </w:t>
      </w:r>
      <w:r>
        <w:rPr/>
        <w:t>5405.</w:t>
      </w:r>
      <w:r>
        <w:rPr>
          <w:spacing w:val="-3"/>
        </w:rPr>
        <w:t> </w:t>
      </w:r>
      <w:r>
        <w:rPr/>
        <w:t>Taxpayers</w:t>
      </w:r>
      <w:r>
        <w:rPr>
          <w:spacing w:val="-3"/>
        </w:rPr>
        <w:t> </w:t>
      </w:r>
      <w:r>
        <w:rPr/>
        <w:t>who claim the credit on their 2009 tax return will not be able to file an electronic return, but instead will need to file a paper return.</w:t>
      </w:r>
    </w:p>
    <w:p>
      <w:pPr>
        <w:pStyle w:val="Heading1"/>
        <w:ind w:left="864"/>
      </w:pPr>
      <w:r>
        <w:rPr/>
        <w:t>Credit</w:t>
      </w:r>
      <w:r>
        <w:rPr>
          <w:spacing w:val="-3"/>
        </w:rPr>
        <w:t> </w:t>
      </w:r>
      <w:r>
        <w:rPr/>
        <w:t>Claimed</w:t>
      </w:r>
      <w:r>
        <w:rPr>
          <w:spacing w:val="-3"/>
        </w:rPr>
        <w:t> </w:t>
      </w:r>
      <w:r>
        <w:rPr/>
        <w:t>on</w:t>
      </w:r>
      <w:r>
        <w:rPr>
          <w:spacing w:val="-3"/>
        </w:rPr>
        <w:t> </w:t>
      </w:r>
      <w:r>
        <w:rPr/>
        <w:t>a</w:t>
      </w:r>
      <w:r>
        <w:rPr>
          <w:spacing w:val="-3"/>
        </w:rPr>
        <w:t> </w:t>
      </w:r>
      <w:r>
        <w:rPr/>
        <w:t>2008</w:t>
      </w:r>
      <w:r>
        <w:rPr>
          <w:spacing w:val="-3"/>
        </w:rPr>
        <w:t> </w:t>
      </w:r>
      <w:r>
        <w:rPr/>
        <w:t>Tax</w:t>
      </w:r>
      <w:r>
        <w:rPr>
          <w:spacing w:val="-2"/>
        </w:rPr>
        <w:t> Return</w:t>
      </w:r>
    </w:p>
    <w:p>
      <w:pPr>
        <w:pStyle w:val="BodyText"/>
        <w:spacing w:before="269"/>
        <w:ind w:left="864" w:right="625"/>
      </w:pPr>
      <w:r>
        <w:rPr/>
        <w:t>The maximum credit was originally $7,500 ($3,750 if married filing separately). A taxpayer</w:t>
      </w:r>
      <w:r>
        <w:rPr>
          <w:spacing w:val="-3"/>
        </w:rPr>
        <w:t> </w:t>
      </w:r>
      <w:r>
        <w:rPr/>
        <w:t>who</w:t>
      </w:r>
      <w:r>
        <w:rPr>
          <w:spacing w:val="-3"/>
        </w:rPr>
        <w:t> </w:t>
      </w:r>
      <w:r>
        <w:rPr/>
        <w:t>chose</w:t>
      </w:r>
      <w:r>
        <w:rPr>
          <w:spacing w:val="-3"/>
        </w:rPr>
        <w:t> </w:t>
      </w:r>
      <w:r>
        <w:rPr/>
        <w:t>to</w:t>
      </w:r>
      <w:r>
        <w:rPr>
          <w:spacing w:val="-3"/>
        </w:rPr>
        <w:t> </w:t>
      </w:r>
      <w:r>
        <w:rPr/>
        <w:t>claim</w:t>
      </w:r>
      <w:r>
        <w:rPr>
          <w:spacing w:val="-3"/>
        </w:rPr>
        <w:t> </w:t>
      </w:r>
      <w:r>
        <w:rPr/>
        <w:t>the</w:t>
      </w:r>
      <w:r>
        <w:rPr>
          <w:spacing w:val="-3"/>
        </w:rPr>
        <w:t> </w:t>
      </w:r>
      <w:r>
        <w:rPr/>
        <w:t>credit</w:t>
      </w:r>
      <w:r>
        <w:rPr>
          <w:spacing w:val="-3"/>
        </w:rPr>
        <w:t> </w:t>
      </w:r>
      <w:r>
        <w:rPr/>
        <w:t>on</w:t>
      </w:r>
      <w:r>
        <w:rPr>
          <w:spacing w:val="-3"/>
        </w:rPr>
        <w:t> </w:t>
      </w:r>
      <w:r>
        <w:rPr/>
        <w:t>the</w:t>
      </w:r>
      <w:r>
        <w:rPr>
          <w:spacing w:val="-3"/>
        </w:rPr>
        <w:t> </w:t>
      </w:r>
      <w:r>
        <w:rPr/>
        <w:t>2008</w:t>
      </w:r>
      <w:r>
        <w:rPr>
          <w:spacing w:val="-3"/>
        </w:rPr>
        <w:t> </w:t>
      </w:r>
      <w:r>
        <w:rPr/>
        <w:t>tax</w:t>
      </w:r>
      <w:r>
        <w:rPr>
          <w:spacing w:val="-3"/>
        </w:rPr>
        <w:t> </w:t>
      </w:r>
      <w:r>
        <w:rPr/>
        <w:t>return</w:t>
      </w:r>
      <w:r>
        <w:rPr>
          <w:spacing w:val="-3"/>
        </w:rPr>
        <w:t> </w:t>
      </w:r>
      <w:r>
        <w:rPr/>
        <w:t>for</w:t>
      </w:r>
      <w:r>
        <w:rPr>
          <w:spacing w:val="-3"/>
        </w:rPr>
        <w:t> </w:t>
      </w:r>
      <w:r>
        <w:rPr/>
        <w:t>a</w:t>
      </w:r>
      <w:r>
        <w:rPr>
          <w:spacing w:val="-3"/>
        </w:rPr>
        <w:t> </w:t>
      </w:r>
      <w:r>
        <w:rPr/>
        <w:t>home</w:t>
      </w:r>
      <w:r>
        <w:rPr>
          <w:spacing w:val="-3"/>
        </w:rPr>
        <w:t> </w:t>
      </w:r>
      <w:r>
        <w:rPr/>
        <w:t>purchased</w:t>
      </w:r>
      <w:r>
        <w:rPr>
          <w:spacing w:val="-3"/>
        </w:rPr>
        <w:t> </w:t>
      </w:r>
      <w:r>
        <w:rPr/>
        <w:t>in</w:t>
      </w:r>
    </w:p>
    <w:p>
      <w:pPr>
        <w:pStyle w:val="BodyText"/>
        <w:spacing w:after="0"/>
        <w:sectPr>
          <w:headerReference w:type="default" r:id="rId8"/>
          <w:pgSz w:w="12240" w:h="15840"/>
          <w:pgMar w:header="725" w:footer="0" w:top="1080" w:bottom="280" w:left="720" w:right="720"/>
        </w:sectPr>
      </w:pPr>
    </w:p>
    <w:p>
      <w:pPr>
        <w:pStyle w:val="BodyText"/>
        <w:spacing w:before="73"/>
      </w:pPr>
    </w:p>
    <w:p>
      <w:pPr>
        <w:pStyle w:val="BodyText"/>
        <w:ind w:left="863" w:right="530"/>
      </w:pPr>
      <w:r>
        <w:rPr/>
        <w:t>2009</w:t>
      </w:r>
      <w:r>
        <w:rPr>
          <w:spacing w:val="-2"/>
        </w:rPr>
        <w:t> </w:t>
      </w:r>
      <w:r>
        <w:rPr/>
        <w:t>and</w:t>
      </w:r>
      <w:r>
        <w:rPr>
          <w:spacing w:val="-2"/>
        </w:rPr>
        <w:t> </w:t>
      </w:r>
      <w:r>
        <w:rPr/>
        <w:t>who</w:t>
      </w:r>
      <w:r>
        <w:rPr>
          <w:spacing w:val="-2"/>
        </w:rPr>
        <w:t> </w:t>
      </w:r>
      <w:r>
        <w:rPr/>
        <w:t>also</w:t>
      </w:r>
      <w:r>
        <w:rPr>
          <w:spacing w:val="-2"/>
        </w:rPr>
        <w:t> </w:t>
      </w:r>
      <w:r>
        <w:rPr/>
        <w:t>did</w:t>
      </w:r>
      <w:r>
        <w:rPr>
          <w:spacing w:val="-2"/>
        </w:rPr>
        <w:t> </w:t>
      </w:r>
      <w:r>
        <w:rPr/>
        <w:t>not</w:t>
      </w:r>
      <w:r>
        <w:rPr>
          <w:spacing w:val="-2"/>
        </w:rPr>
        <w:t> </w:t>
      </w:r>
      <w:r>
        <w:rPr/>
        <w:t>use</w:t>
      </w:r>
      <w:r>
        <w:rPr>
          <w:spacing w:val="-2"/>
        </w:rPr>
        <w:t> </w:t>
      </w:r>
      <w:r>
        <w:rPr/>
        <w:t>the</w:t>
      </w:r>
      <w:r>
        <w:rPr>
          <w:spacing w:val="-2"/>
        </w:rPr>
        <w:t> </w:t>
      </w:r>
      <w:r>
        <w:rPr/>
        <w:t>Feb.</w:t>
      </w:r>
      <w:r>
        <w:rPr>
          <w:spacing w:val="-2"/>
        </w:rPr>
        <w:t> </w:t>
      </w:r>
      <w:r>
        <w:rPr/>
        <w:t>2009</w:t>
      </w:r>
      <w:r>
        <w:rPr>
          <w:spacing w:val="-2"/>
        </w:rPr>
        <w:t> </w:t>
      </w:r>
      <w:r>
        <w:rPr/>
        <w:t>revision</w:t>
      </w:r>
      <w:r>
        <w:rPr>
          <w:spacing w:val="-2"/>
        </w:rPr>
        <w:t> </w:t>
      </w:r>
      <w:r>
        <w:rPr/>
        <w:t>of</w:t>
      </w:r>
      <w:r>
        <w:rPr>
          <w:spacing w:val="-2"/>
        </w:rPr>
        <w:t> </w:t>
      </w:r>
      <w:r>
        <w:rPr/>
        <w:t>Form</w:t>
      </w:r>
      <w:r>
        <w:rPr>
          <w:spacing w:val="-2"/>
        </w:rPr>
        <w:t> </w:t>
      </w:r>
      <w:r>
        <w:rPr/>
        <w:t>5405</w:t>
      </w:r>
      <w:r>
        <w:rPr>
          <w:spacing w:val="-2"/>
        </w:rPr>
        <w:t> </w:t>
      </w:r>
      <w:r>
        <w:rPr/>
        <w:t>may</w:t>
      </w:r>
      <w:r>
        <w:rPr>
          <w:spacing w:val="-2"/>
        </w:rPr>
        <w:t> </w:t>
      </w:r>
      <w:r>
        <w:rPr/>
        <w:t>now</w:t>
      </w:r>
      <w:r>
        <w:rPr>
          <w:spacing w:val="-2"/>
        </w:rPr>
        <w:t> </w:t>
      </w:r>
      <w:r>
        <w:rPr/>
        <w:t>be</w:t>
      </w:r>
      <w:r>
        <w:rPr>
          <w:spacing w:val="-2"/>
        </w:rPr>
        <w:t> </w:t>
      </w:r>
      <w:r>
        <w:rPr/>
        <w:t>able</w:t>
      </w:r>
      <w:r>
        <w:rPr>
          <w:spacing w:val="-2"/>
        </w:rPr>
        <w:t> </w:t>
      </w:r>
      <w:r>
        <w:rPr/>
        <w:t>to claim the additional $500 on an amended 2008 tax return.</w:t>
      </w:r>
    </w:p>
    <w:p>
      <w:pPr>
        <w:pStyle w:val="BodyText"/>
      </w:pPr>
    </w:p>
    <w:p>
      <w:pPr>
        <w:pStyle w:val="BodyText"/>
        <w:spacing w:before="265"/>
      </w:pPr>
    </w:p>
    <w:p>
      <w:pPr>
        <w:pStyle w:val="Heading1"/>
        <w:spacing w:before="0"/>
      </w:pPr>
      <w:r>
        <w:rPr/>
        <w:t>Selling</w:t>
      </w:r>
      <w:r>
        <w:rPr>
          <w:spacing w:val="-1"/>
        </w:rPr>
        <w:t> </w:t>
      </w:r>
      <w:r>
        <w:rPr/>
        <w:t>the</w:t>
      </w:r>
      <w:r>
        <w:rPr>
          <w:spacing w:val="-2"/>
        </w:rPr>
        <w:t> </w:t>
      </w:r>
      <w:r>
        <w:rPr/>
        <w:t>Home</w:t>
      </w:r>
      <w:r>
        <w:rPr>
          <w:spacing w:val="-1"/>
        </w:rPr>
        <w:t> </w:t>
      </w:r>
      <w:r>
        <w:rPr/>
        <w:t>and</w:t>
      </w:r>
      <w:r>
        <w:rPr>
          <w:spacing w:val="-1"/>
        </w:rPr>
        <w:t> </w:t>
      </w:r>
      <w:r>
        <w:rPr/>
        <w:t>Other</w:t>
      </w:r>
      <w:r>
        <w:rPr>
          <w:spacing w:val="-1"/>
        </w:rPr>
        <w:t> </w:t>
      </w:r>
      <w:r>
        <w:rPr/>
        <w:t>Events</w:t>
      </w:r>
      <w:r>
        <w:rPr>
          <w:spacing w:val="-1"/>
        </w:rPr>
        <w:t> </w:t>
      </w:r>
      <w:r>
        <w:rPr/>
        <w:t>that</w:t>
      </w:r>
      <w:r>
        <w:rPr>
          <w:spacing w:val="-1"/>
        </w:rPr>
        <w:t> </w:t>
      </w:r>
      <w:r>
        <w:rPr/>
        <w:t>Require</w:t>
      </w:r>
      <w:r>
        <w:rPr>
          <w:spacing w:val="-1"/>
        </w:rPr>
        <w:t> </w:t>
      </w:r>
      <w:r>
        <w:rPr/>
        <w:t>Repaying</w:t>
      </w:r>
      <w:r>
        <w:rPr>
          <w:spacing w:val="-1"/>
        </w:rPr>
        <w:t> </w:t>
      </w:r>
      <w:r>
        <w:rPr/>
        <w:t>the </w:t>
      </w:r>
      <w:r>
        <w:rPr>
          <w:spacing w:val="-2"/>
        </w:rPr>
        <w:t>Credit</w:t>
      </w:r>
    </w:p>
    <w:p>
      <w:pPr>
        <w:pStyle w:val="BodyText"/>
        <w:spacing w:before="269"/>
        <w:ind w:left="863" w:right="530"/>
      </w:pPr>
      <w:r>
        <w:rPr/>
        <w:t>Taxpayers who bought homes in 2009 or 2010 and sold them within a 36 month period that</w:t>
      </w:r>
      <w:r>
        <w:rPr>
          <w:spacing w:val="-3"/>
        </w:rPr>
        <w:t> </w:t>
      </w:r>
      <w:r>
        <w:rPr/>
        <w:t>begins</w:t>
      </w:r>
      <w:r>
        <w:rPr>
          <w:spacing w:val="-3"/>
        </w:rPr>
        <w:t> </w:t>
      </w:r>
      <w:r>
        <w:rPr/>
        <w:t>on</w:t>
      </w:r>
      <w:r>
        <w:rPr>
          <w:spacing w:val="-3"/>
        </w:rPr>
        <w:t> </w:t>
      </w:r>
      <w:r>
        <w:rPr/>
        <w:t>the</w:t>
      </w:r>
      <w:r>
        <w:rPr>
          <w:spacing w:val="-3"/>
        </w:rPr>
        <w:t> </w:t>
      </w:r>
      <w:r>
        <w:rPr/>
        <w:t>purchase</w:t>
      </w:r>
      <w:r>
        <w:rPr>
          <w:spacing w:val="-3"/>
        </w:rPr>
        <w:t> </w:t>
      </w:r>
      <w:r>
        <w:rPr/>
        <w:t>date,</w:t>
      </w:r>
      <w:r>
        <w:rPr>
          <w:spacing w:val="-3"/>
        </w:rPr>
        <w:t> </w:t>
      </w:r>
      <w:r>
        <w:rPr/>
        <w:t>must</w:t>
      </w:r>
      <w:r>
        <w:rPr>
          <w:spacing w:val="-3"/>
        </w:rPr>
        <w:t> </w:t>
      </w:r>
      <w:r>
        <w:rPr/>
        <w:t>repay</w:t>
      </w:r>
      <w:r>
        <w:rPr>
          <w:spacing w:val="-3"/>
        </w:rPr>
        <w:t> </w:t>
      </w:r>
      <w:r>
        <w:rPr/>
        <w:t>the</w:t>
      </w:r>
      <w:r>
        <w:rPr>
          <w:spacing w:val="-3"/>
        </w:rPr>
        <w:t> </w:t>
      </w:r>
      <w:r>
        <w:rPr/>
        <w:t>credit.</w:t>
      </w:r>
      <w:r>
        <w:rPr>
          <w:spacing w:val="-3"/>
        </w:rPr>
        <w:t> </w:t>
      </w:r>
      <w:r>
        <w:rPr/>
        <w:t>They</w:t>
      </w:r>
      <w:r>
        <w:rPr>
          <w:spacing w:val="-3"/>
        </w:rPr>
        <w:t> </w:t>
      </w:r>
      <w:r>
        <w:rPr/>
        <w:t>also</w:t>
      </w:r>
      <w:r>
        <w:rPr>
          <w:spacing w:val="-3"/>
        </w:rPr>
        <w:t> </w:t>
      </w:r>
      <w:r>
        <w:rPr/>
        <w:t>must</w:t>
      </w:r>
      <w:r>
        <w:rPr>
          <w:spacing w:val="-3"/>
        </w:rPr>
        <w:t> </w:t>
      </w:r>
      <w:r>
        <w:rPr/>
        <w:t>repay</w:t>
      </w:r>
      <w:r>
        <w:rPr>
          <w:spacing w:val="-3"/>
        </w:rPr>
        <w:t> </w:t>
      </w:r>
      <w:r>
        <w:rPr/>
        <w:t>the</w:t>
      </w:r>
      <w:r>
        <w:rPr>
          <w:spacing w:val="-3"/>
        </w:rPr>
        <w:t> </w:t>
      </w:r>
      <w:r>
        <w:rPr/>
        <w:t>credit if they convert the home to a business or rental property or the lender forecloses on the home. The taxpayer repays the credit by including the amount of the credit</w:t>
      </w:r>
      <w:r>
        <w:rPr>
          <w:spacing w:val="-1"/>
        </w:rPr>
        <w:t> </w:t>
      </w:r>
      <w:r>
        <w:rPr/>
        <w:t>as</w:t>
      </w:r>
      <w:r>
        <w:rPr>
          <w:spacing w:val="-1"/>
        </w:rPr>
        <w:t> </w:t>
      </w:r>
      <w:r>
        <w:rPr/>
        <w:t>additional tax on the tax return for the year in which the repayment event occurs.</w:t>
      </w:r>
    </w:p>
    <w:p>
      <w:pPr>
        <w:pStyle w:val="BodyText"/>
        <w:spacing w:before="270"/>
        <w:ind w:left="863" w:right="703"/>
      </w:pPr>
      <w:r>
        <w:rPr/>
        <w:t>However,</w:t>
      </w:r>
      <w:r>
        <w:rPr>
          <w:spacing w:val="-3"/>
        </w:rPr>
        <w:t> </w:t>
      </w:r>
      <w:r>
        <w:rPr/>
        <w:t>taxpayers</w:t>
      </w:r>
      <w:r>
        <w:rPr>
          <w:spacing w:val="-3"/>
        </w:rPr>
        <w:t> </w:t>
      </w:r>
      <w:r>
        <w:rPr/>
        <w:t>do</w:t>
      </w:r>
      <w:r>
        <w:rPr>
          <w:spacing w:val="-3"/>
        </w:rPr>
        <w:t> </w:t>
      </w:r>
      <w:r>
        <w:rPr/>
        <w:t>not</w:t>
      </w:r>
      <w:r>
        <w:rPr>
          <w:spacing w:val="-3"/>
        </w:rPr>
        <w:t> </w:t>
      </w:r>
      <w:r>
        <w:rPr/>
        <w:t>have</w:t>
      </w:r>
      <w:r>
        <w:rPr>
          <w:spacing w:val="-3"/>
        </w:rPr>
        <w:t> </w:t>
      </w:r>
      <w:r>
        <w:rPr/>
        <w:t>to</w:t>
      </w:r>
      <w:r>
        <w:rPr>
          <w:spacing w:val="-3"/>
        </w:rPr>
        <w:t> </w:t>
      </w:r>
      <w:r>
        <w:rPr/>
        <w:t>repay</w:t>
      </w:r>
      <w:r>
        <w:rPr>
          <w:spacing w:val="-3"/>
        </w:rPr>
        <w:t> </w:t>
      </w:r>
      <w:r>
        <w:rPr/>
        <w:t>all</w:t>
      </w:r>
      <w:r>
        <w:rPr>
          <w:spacing w:val="-3"/>
        </w:rPr>
        <w:t> </w:t>
      </w:r>
      <w:r>
        <w:rPr/>
        <w:t>or</w:t>
      </w:r>
      <w:r>
        <w:rPr>
          <w:spacing w:val="-3"/>
        </w:rPr>
        <w:t> </w:t>
      </w:r>
      <w:r>
        <w:rPr/>
        <w:t>a</w:t>
      </w:r>
      <w:r>
        <w:rPr>
          <w:spacing w:val="-3"/>
        </w:rPr>
        <w:t> </w:t>
      </w:r>
      <w:r>
        <w:rPr/>
        <w:t>portion</w:t>
      </w:r>
      <w:r>
        <w:rPr>
          <w:spacing w:val="-3"/>
        </w:rPr>
        <w:t> </w:t>
      </w:r>
      <w:r>
        <w:rPr/>
        <w:t>of</w:t>
      </w:r>
      <w:r>
        <w:rPr>
          <w:spacing w:val="-3"/>
        </w:rPr>
        <w:t> </w:t>
      </w:r>
      <w:r>
        <w:rPr/>
        <w:t>the</w:t>
      </w:r>
      <w:r>
        <w:rPr>
          <w:spacing w:val="-3"/>
        </w:rPr>
        <w:t> </w:t>
      </w:r>
      <w:r>
        <w:rPr/>
        <w:t>credit</w:t>
      </w:r>
      <w:r>
        <w:rPr>
          <w:spacing w:val="-3"/>
        </w:rPr>
        <w:t> </w:t>
      </w:r>
      <w:r>
        <w:rPr/>
        <w:t>under</w:t>
      </w:r>
      <w:r>
        <w:rPr>
          <w:spacing w:val="-3"/>
        </w:rPr>
        <w:t> </w:t>
      </w:r>
      <w:r>
        <w:rPr/>
        <w:t>the following circumstances:</w:t>
      </w:r>
    </w:p>
    <w:p>
      <w:pPr>
        <w:pStyle w:val="ListParagraph"/>
        <w:numPr>
          <w:ilvl w:val="0"/>
          <w:numId w:val="1"/>
        </w:numPr>
        <w:tabs>
          <w:tab w:pos="1583" w:val="left" w:leader="none"/>
        </w:tabs>
        <w:spacing w:line="237" w:lineRule="auto" w:before="273" w:after="0"/>
        <w:ind w:left="1583" w:right="795" w:hanging="360"/>
        <w:jc w:val="left"/>
        <w:rPr>
          <w:sz w:val="24"/>
        </w:rPr>
      </w:pPr>
      <w:r>
        <w:rPr>
          <w:sz w:val="24"/>
        </w:rPr>
        <w:t>Taxpayers</w:t>
      </w:r>
      <w:r>
        <w:rPr>
          <w:spacing w:val="-3"/>
          <w:sz w:val="24"/>
        </w:rPr>
        <w:t> </w:t>
      </w:r>
      <w:r>
        <w:rPr>
          <w:sz w:val="24"/>
        </w:rPr>
        <w:t>sell</w:t>
      </w:r>
      <w:r>
        <w:rPr>
          <w:spacing w:val="-3"/>
          <w:sz w:val="24"/>
        </w:rPr>
        <w:t> </w:t>
      </w:r>
      <w:r>
        <w:rPr>
          <w:sz w:val="24"/>
        </w:rPr>
        <w:t>the</w:t>
      </w:r>
      <w:r>
        <w:rPr>
          <w:spacing w:val="-3"/>
          <w:sz w:val="24"/>
        </w:rPr>
        <w:t> </w:t>
      </w:r>
      <w:r>
        <w:rPr>
          <w:sz w:val="24"/>
        </w:rPr>
        <w:t>home</w:t>
      </w:r>
      <w:r>
        <w:rPr>
          <w:spacing w:val="-3"/>
          <w:sz w:val="24"/>
        </w:rPr>
        <w:t> </w:t>
      </w:r>
      <w:r>
        <w:rPr>
          <w:sz w:val="24"/>
        </w:rPr>
        <w:t>to</w:t>
      </w:r>
      <w:r>
        <w:rPr>
          <w:spacing w:val="-3"/>
          <w:sz w:val="24"/>
        </w:rPr>
        <w:t> </w:t>
      </w:r>
      <w:r>
        <w:rPr>
          <w:sz w:val="24"/>
        </w:rPr>
        <w:t>someone</w:t>
      </w:r>
      <w:r>
        <w:rPr>
          <w:spacing w:val="-3"/>
          <w:sz w:val="24"/>
        </w:rPr>
        <w:t> </w:t>
      </w:r>
      <w:r>
        <w:rPr>
          <w:sz w:val="24"/>
        </w:rPr>
        <w:t>who</w:t>
      </w:r>
      <w:r>
        <w:rPr>
          <w:spacing w:val="-3"/>
          <w:sz w:val="24"/>
        </w:rPr>
        <w:t> </w:t>
      </w:r>
      <w:r>
        <w:rPr>
          <w:sz w:val="24"/>
        </w:rPr>
        <w:t>is</w:t>
      </w:r>
      <w:r>
        <w:rPr>
          <w:spacing w:val="-3"/>
          <w:sz w:val="24"/>
        </w:rPr>
        <w:t> </w:t>
      </w:r>
      <w:r>
        <w:rPr>
          <w:sz w:val="24"/>
        </w:rPr>
        <w:t>not</w:t>
      </w:r>
      <w:r>
        <w:rPr>
          <w:spacing w:val="-3"/>
          <w:sz w:val="24"/>
        </w:rPr>
        <w:t> </w:t>
      </w:r>
      <w:r>
        <w:rPr>
          <w:sz w:val="24"/>
        </w:rPr>
        <w:t>related</w:t>
      </w:r>
      <w:r>
        <w:rPr>
          <w:spacing w:val="-3"/>
          <w:sz w:val="24"/>
        </w:rPr>
        <w:t> </w:t>
      </w:r>
      <w:r>
        <w:rPr>
          <w:sz w:val="24"/>
        </w:rPr>
        <w:t>to</w:t>
      </w:r>
      <w:r>
        <w:rPr>
          <w:spacing w:val="-4"/>
          <w:sz w:val="24"/>
        </w:rPr>
        <w:t> </w:t>
      </w:r>
      <w:r>
        <w:rPr>
          <w:sz w:val="24"/>
        </w:rPr>
        <w:t>them,</w:t>
      </w:r>
      <w:r>
        <w:rPr>
          <w:spacing w:val="-4"/>
          <w:sz w:val="24"/>
        </w:rPr>
        <w:t> </w:t>
      </w:r>
      <w:r>
        <w:rPr>
          <w:sz w:val="24"/>
        </w:rPr>
        <w:t>the</w:t>
      </w:r>
      <w:r>
        <w:rPr>
          <w:spacing w:val="-4"/>
          <w:sz w:val="24"/>
        </w:rPr>
        <w:t> </w:t>
      </w:r>
      <w:r>
        <w:rPr>
          <w:sz w:val="24"/>
        </w:rPr>
        <w:t>repayment in the year of sale is limited to the amount of gain on the sale;</w:t>
      </w:r>
    </w:p>
    <w:p>
      <w:pPr>
        <w:pStyle w:val="ListParagraph"/>
        <w:numPr>
          <w:ilvl w:val="0"/>
          <w:numId w:val="1"/>
        </w:numPr>
        <w:tabs>
          <w:tab w:pos="1583" w:val="left" w:leader="none"/>
        </w:tabs>
        <w:spacing w:line="240" w:lineRule="auto" w:before="271" w:after="0"/>
        <w:ind w:left="1583" w:right="1223" w:hanging="360"/>
        <w:jc w:val="left"/>
        <w:rPr>
          <w:sz w:val="24"/>
        </w:rPr>
      </w:pPr>
      <w:r>
        <w:rPr>
          <w:sz w:val="24"/>
        </w:rPr>
        <w:t>If the home is destroyed, condemned, or disposed of under threat of condemnation</w:t>
      </w:r>
      <w:r>
        <w:rPr>
          <w:spacing w:val="-4"/>
          <w:sz w:val="24"/>
        </w:rPr>
        <w:t> </w:t>
      </w:r>
      <w:r>
        <w:rPr>
          <w:sz w:val="24"/>
        </w:rPr>
        <w:t>and</w:t>
      </w:r>
      <w:r>
        <w:rPr>
          <w:spacing w:val="-4"/>
          <w:sz w:val="24"/>
        </w:rPr>
        <w:t> </w:t>
      </w:r>
      <w:r>
        <w:rPr>
          <w:sz w:val="24"/>
        </w:rPr>
        <w:t>the</w:t>
      </w:r>
      <w:r>
        <w:rPr>
          <w:spacing w:val="-4"/>
          <w:sz w:val="24"/>
        </w:rPr>
        <w:t> </w:t>
      </w:r>
      <w:r>
        <w:rPr>
          <w:sz w:val="24"/>
        </w:rPr>
        <w:t>taxpayer</w:t>
      </w:r>
      <w:r>
        <w:rPr>
          <w:spacing w:val="-4"/>
          <w:sz w:val="24"/>
        </w:rPr>
        <w:t> </w:t>
      </w:r>
      <w:r>
        <w:rPr>
          <w:sz w:val="24"/>
        </w:rPr>
        <w:t>acquires</w:t>
      </w:r>
      <w:r>
        <w:rPr>
          <w:spacing w:val="-5"/>
          <w:sz w:val="24"/>
        </w:rPr>
        <w:t> </w:t>
      </w:r>
      <w:r>
        <w:rPr>
          <w:sz w:val="24"/>
        </w:rPr>
        <w:t>a</w:t>
      </w:r>
      <w:r>
        <w:rPr>
          <w:spacing w:val="-4"/>
          <w:sz w:val="24"/>
        </w:rPr>
        <w:t> </w:t>
      </w:r>
      <w:r>
        <w:rPr>
          <w:sz w:val="24"/>
        </w:rPr>
        <w:t>new</w:t>
      </w:r>
      <w:r>
        <w:rPr>
          <w:spacing w:val="-4"/>
          <w:sz w:val="24"/>
        </w:rPr>
        <w:t> </w:t>
      </w:r>
      <w:r>
        <w:rPr>
          <w:sz w:val="24"/>
        </w:rPr>
        <w:t>principal</w:t>
      </w:r>
      <w:r>
        <w:rPr>
          <w:spacing w:val="-4"/>
          <w:sz w:val="24"/>
        </w:rPr>
        <w:t> </w:t>
      </w:r>
      <w:r>
        <w:rPr>
          <w:sz w:val="24"/>
        </w:rPr>
        <w:t>residence</w:t>
      </w:r>
      <w:r>
        <w:rPr>
          <w:spacing w:val="-4"/>
          <w:sz w:val="24"/>
        </w:rPr>
        <w:t> </w:t>
      </w:r>
      <w:r>
        <w:rPr>
          <w:sz w:val="24"/>
        </w:rPr>
        <w:t>within</w:t>
      </w:r>
      <w:r>
        <w:rPr>
          <w:spacing w:val="-4"/>
          <w:sz w:val="24"/>
        </w:rPr>
        <w:t> </w:t>
      </w:r>
      <w:r>
        <w:rPr>
          <w:sz w:val="24"/>
        </w:rPr>
        <w:t>2 years of the event, the taxpayer does not have to repay the credit; and</w:t>
      </w:r>
    </w:p>
    <w:p>
      <w:pPr>
        <w:pStyle w:val="ListParagraph"/>
        <w:numPr>
          <w:ilvl w:val="0"/>
          <w:numId w:val="1"/>
        </w:numPr>
        <w:tabs>
          <w:tab w:pos="1583" w:val="left" w:leader="none"/>
        </w:tabs>
        <w:spacing w:line="237" w:lineRule="auto" w:before="272" w:after="0"/>
        <w:ind w:left="1583" w:right="676" w:hanging="360"/>
        <w:jc w:val="left"/>
        <w:rPr>
          <w:sz w:val="24"/>
        </w:rPr>
      </w:pPr>
      <w:r>
        <w:rPr>
          <w:sz w:val="24"/>
        </w:rPr>
        <w:t>If, as part of a divorce settlement, the home is transferred to a spouse or former spouse,</w:t>
      </w:r>
      <w:r>
        <w:rPr>
          <w:spacing w:val="-4"/>
          <w:sz w:val="24"/>
        </w:rPr>
        <w:t> </w:t>
      </w:r>
      <w:r>
        <w:rPr>
          <w:sz w:val="24"/>
        </w:rPr>
        <w:t>the</w:t>
      </w:r>
      <w:r>
        <w:rPr>
          <w:spacing w:val="-4"/>
          <w:sz w:val="24"/>
        </w:rPr>
        <w:t> </w:t>
      </w:r>
      <w:r>
        <w:rPr>
          <w:sz w:val="24"/>
        </w:rPr>
        <w:t>spouse</w:t>
      </w:r>
      <w:r>
        <w:rPr>
          <w:spacing w:val="-4"/>
          <w:sz w:val="24"/>
        </w:rPr>
        <w:t> </w:t>
      </w:r>
      <w:r>
        <w:rPr>
          <w:sz w:val="24"/>
        </w:rPr>
        <w:t>who</w:t>
      </w:r>
      <w:r>
        <w:rPr>
          <w:spacing w:val="-4"/>
          <w:sz w:val="24"/>
        </w:rPr>
        <w:t> </w:t>
      </w:r>
      <w:r>
        <w:rPr>
          <w:sz w:val="24"/>
        </w:rPr>
        <w:t>receives</w:t>
      </w:r>
      <w:r>
        <w:rPr>
          <w:spacing w:val="-3"/>
          <w:sz w:val="24"/>
        </w:rPr>
        <w:t> </w:t>
      </w:r>
      <w:r>
        <w:rPr>
          <w:sz w:val="24"/>
        </w:rPr>
        <w:t>the</w:t>
      </w:r>
      <w:r>
        <w:rPr>
          <w:spacing w:val="-4"/>
          <w:sz w:val="24"/>
        </w:rPr>
        <w:t> </w:t>
      </w:r>
      <w:r>
        <w:rPr>
          <w:sz w:val="24"/>
        </w:rPr>
        <w:t>home</w:t>
      </w:r>
      <w:r>
        <w:rPr>
          <w:spacing w:val="-3"/>
          <w:sz w:val="24"/>
        </w:rPr>
        <w:t> </w:t>
      </w:r>
      <w:r>
        <w:rPr>
          <w:sz w:val="24"/>
        </w:rPr>
        <w:t>is</w:t>
      </w:r>
      <w:r>
        <w:rPr>
          <w:spacing w:val="-4"/>
          <w:sz w:val="24"/>
        </w:rPr>
        <w:t> </w:t>
      </w:r>
      <w:r>
        <w:rPr>
          <w:sz w:val="24"/>
        </w:rPr>
        <w:t>responsible</w:t>
      </w:r>
      <w:r>
        <w:rPr>
          <w:spacing w:val="-4"/>
          <w:sz w:val="24"/>
        </w:rPr>
        <w:t> </w:t>
      </w:r>
      <w:r>
        <w:rPr>
          <w:sz w:val="24"/>
        </w:rPr>
        <w:t>for</w:t>
      </w:r>
      <w:r>
        <w:rPr>
          <w:spacing w:val="-4"/>
          <w:sz w:val="24"/>
        </w:rPr>
        <w:t> </w:t>
      </w:r>
      <w:r>
        <w:rPr>
          <w:sz w:val="24"/>
        </w:rPr>
        <w:t>repaying</w:t>
      </w:r>
      <w:r>
        <w:rPr>
          <w:spacing w:val="-4"/>
          <w:sz w:val="24"/>
        </w:rPr>
        <w:t> </w:t>
      </w:r>
      <w:r>
        <w:rPr>
          <w:sz w:val="24"/>
        </w:rPr>
        <w:t>the</w:t>
      </w:r>
      <w:r>
        <w:rPr>
          <w:spacing w:val="-4"/>
          <w:sz w:val="24"/>
        </w:rPr>
        <w:t> </w:t>
      </w:r>
      <w:r>
        <w:rPr>
          <w:sz w:val="24"/>
        </w:rPr>
        <w:t>credit if required.</w:t>
      </w:r>
    </w:p>
    <w:p>
      <w:pPr>
        <w:pStyle w:val="Heading1"/>
        <w:spacing w:before="274"/>
      </w:pPr>
      <w:r>
        <w:rPr/>
        <w:t>Related</w:t>
      </w:r>
      <w:r>
        <w:rPr>
          <w:spacing w:val="-2"/>
        </w:rPr>
        <w:t> Items:</w:t>
      </w:r>
    </w:p>
    <w:p>
      <w:pPr>
        <w:pStyle w:val="BodyText"/>
        <w:spacing w:before="269"/>
        <w:ind w:left="863"/>
      </w:pPr>
      <w:r>
        <w:rPr/>
        <w:t>For</w:t>
      </w:r>
      <w:r>
        <w:rPr>
          <w:spacing w:val="-6"/>
        </w:rPr>
        <w:t> </w:t>
      </w:r>
      <w:r>
        <w:rPr/>
        <w:t>more</w:t>
      </w:r>
      <w:r>
        <w:rPr>
          <w:spacing w:val="-4"/>
        </w:rPr>
        <w:t> </w:t>
      </w:r>
      <w:r>
        <w:rPr/>
        <w:t>details</w:t>
      </w:r>
      <w:r>
        <w:rPr>
          <w:spacing w:val="-3"/>
        </w:rPr>
        <w:t> </w:t>
      </w:r>
      <w:r>
        <w:rPr/>
        <w:t>on</w:t>
      </w:r>
      <w:r>
        <w:rPr>
          <w:spacing w:val="-4"/>
        </w:rPr>
        <w:t> </w:t>
      </w:r>
      <w:r>
        <w:rPr/>
        <w:t>the</w:t>
      </w:r>
      <w:r>
        <w:rPr>
          <w:spacing w:val="-4"/>
        </w:rPr>
        <w:t> </w:t>
      </w:r>
      <w:r>
        <w:rPr/>
        <w:t>credit,</w:t>
      </w:r>
      <w:r>
        <w:rPr>
          <w:spacing w:val="-3"/>
        </w:rPr>
        <w:t> </w:t>
      </w:r>
      <w:r>
        <w:rPr/>
        <w:t>visit</w:t>
      </w:r>
      <w:r>
        <w:rPr>
          <w:spacing w:val="-4"/>
        </w:rPr>
        <w:t> </w:t>
      </w:r>
      <w:r>
        <w:rPr/>
        <w:t>the</w:t>
      </w:r>
      <w:r>
        <w:rPr>
          <w:spacing w:val="-6"/>
        </w:rPr>
        <w:t> </w:t>
      </w:r>
      <w:r>
        <w:rPr>
          <w:color w:val="0000FF"/>
          <w:u w:val="single" w:color="0000FF"/>
        </w:rPr>
        <w:t>First-Time</w:t>
      </w:r>
      <w:r>
        <w:rPr>
          <w:color w:val="0000FF"/>
          <w:spacing w:val="-4"/>
          <w:u w:val="single" w:color="0000FF"/>
        </w:rPr>
        <w:t> </w:t>
      </w:r>
      <w:r>
        <w:rPr>
          <w:color w:val="0000FF"/>
          <w:u w:val="single" w:color="0000FF"/>
        </w:rPr>
        <w:t>Homebuyer</w:t>
      </w:r>
      <w:r>
        <w:rPr>
          <w:color w:val="0000FF"/>
          <w:spacing w:val="-4"/>
          <w:u w:val="single" w:color="0000FF"/>
        </w:rPr>
        <w:t> </w:t>
      </w:r>
      <w:r>
        <w:rPr>
          <w:color w:val="0000FF"/>
          <w:u w:val="single" w:color="0000FF"/>
        </w:rPr>
        <w:t>Credit</w:t>
      </w:r>
      <w:r>
        <w:rPr>
          <w:color w:val="0000FF"/>
          <w:spacing w:val="-3"/>
          <w:u w:val="single" w:color="0000FF"/>
        </w:rPr>
        <w:t> </w:t>
      </w:r>
      <w:r>
        <w:rPr>
          <w:color w:val="0000FF"/>
          <w:u w:val="single" w:color="0000FF"/>
        </w:rPr>
        <w:t>page</w:t>
      </w:r>
      <w:r>
        <w:rPr>
          <w:color w:val="0000FF"/>
          <w:spacing w:val="-6"/>
        </w:rPr>
        <w:t> </w:t>
      </w:r>
      <w:r>
        <w:rPr/>
        <w:t>on</w:t>
      </w:r>
      <w:r>
        <w:rPr>
          <w:spacing w:val="-3"/>
        </w:rPr>
        <w:t> </w:t>
      </w:r>
      <w:r>
        <w:rPr>
          <w:spacing w:val="-2"/>
        </w:rPr>
        <w:t>IRS.gov.</w:t>
      </w:r>
    </w:p>
    <w:p>
      <w:pPr>
        <w:pStyle w:val="BodyText"/>
        <w:spacing w:before="270"/>
        <w:ind w:left="321" w:right="41"/>
        <w:jc w:val="center"/>
      </w:pPr>
      <w:r>
        <w:rPr>
          <w:spacing w:val="-2"/>
        </w:rPr>
        <w:t>––30––</w:t>
      </w:r>
    </w:p>
    <w:sectPr>
      <w:pgSz w:w="12240" w:h="15840"/>
      <w:pgMar w:header="725" w:footer="0" w:top="10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8448">
              <wp:simplePos x="0" y="0"/>
              <wp:positionH relativeFrom="page">
                <wp:posOffset>535940</wp:posOffset>
              </wp:positionH>
              <wp:positionV relativeFrom="page">
                <wp:posOffset>447506</wp:posOffset>
              </wp:positionV>
              <wp:extent cx="948690"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8690" cy="196215"/>
                      </a:xfrm>
                      <a:prstGeom prst="rect">
                        <a:avLst/>
                      </a:prstGeom>
                    </wps:spPr>
                    <wps:txbx>
                      <w:txbxContent>
                        <w:p>
                          <w:pPr>
                            <w:pStyle w:val="BodyText"/>
                            <w:spacing w:before="12"/>
                            <w:ind w:left="20"/>
                          </w:pPr>
                          <w:r>
                            <w:rPr/>
                            <w:t>January</w:t>
                          </w:r>
                          <w:r>
                            <w:rPr>
                              <w:spacing w:val="-6"/>
                            </w:rPr>
                            <w:t> </w:t>
                          </w:r>
                          <w:r>
                            <w:rPr>
                              <w:spacing w:val="-4"/>
                            </w:rPr>
                            <w:t>2010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200001pt;margin-top:35.236717pt;width:74.7pt;height:15.45pt;mso-position-horizontal-relative:page;mso-position-vertical-relative:page;z-index:-15788032" type="#_x0000_t202" id="docshape1" filled="false" stroked="false">
              <v:textbox inset="0,0,0,0">
                <w:txbxContent>
                  <w:p>
                    <w:pPr>
                      <w:pStyle w:val="BodyText"/>
                      <w:spacing w:before="12"/>
                      <w:ind w:left="20"/>
                    </w:pPr>
                    <w:r>
                      <w:rPr/>
                      <w:t>January</w:t>
                    </w:r>
                    <w:r>
                      <w:rPr>
                        <w:spacing w:val="-6"/>
                      </w:rPr>
                      <w:t> </w:t>
                    </w:r>
                    <w:r>
                      <w:rPr>
                        <w:spacing w:val="-4"/>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8960">
              <wp:simplePos x="0" y="0"/>
              <wp:positionH relativeFrom="page">
                <wp:posOffset>6692186</wp:posOffset>
              </wp:positionH>
              <wp:positionV relativeFrom="page">
                <wp:posOffset>447506</wp:posOffset>
              </wp:positionV>
              <wp:extent cx="54673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46735" cy="196215"/>
                      </a:xfrm>
                      <a:prstGeom prst="rect">
                        <a:avLst/>
                      </a:prstGeom>
                    </wps:spPr>
                    <wps:txbx>
                      <w:txbxContent>
                        <w:p>
                          <w:pPr>
                            <w:pStyle w:val="BodyText"/>
                            <w:spacing w:before="12"/>
                            <w:ind w:left="20"/>
                          </w:pPr>
                          <w:r>
                            <w:rPr/>
                            <w:t>Page</w:t>
                          </w:r>
                          <w:r>
                            <w:rPr>
                              <w:spacing w:val="-3"/>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26.943787pt;margin-top:35.236717pt;width:43.05pt;height:15.45pt;mso-position-horizontal-relative:page;mso-position-vertical-relative:page;z-index:-15787520" type="#_x0000_t202" id="docshape2" filled="false" stroked="false">
              <v:textbox inset="0,0,0,0">
                <w:txbxContent>
                  <w:p>
                    <w:pPr>
                      <w:pStyle w:val="BodyText"/>
                      <w:spacing w:before="12"/>
                      <w:ind w:left="20"/>
                    </w:pPr>
                    <w:r>
                      <w:rPr/>
                      <w:t>Page</w:t>
                    </w:r>
                    <w:r>
                      <w:rPr>
                        <w:spacing w:val="-3"/>
                      </w:rPr>
                      <w:t>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9472">
              <wp:simplePos x="0" y="0"/>
              <wp:positionH relativeFrom="page">
                <wp:posOffset>548640</wp:posOffset>
              </wp:positionH>
              <wp:positionV relativeFrom="page">
                <wp:posOffset>685800</wp:posOffset>
              </wp:positionV>
              <wp:extent cx="66294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629400" cy="1270"/>
                      </a:xfrm>
                      <a:custGeom>
                        <a:avLst/>
                        <a:gdLst/>
                        <a:ahLst/>
                        <a:cxnLst/>
                        <a:rect l="l" t="t" r="r" b="b"/>
                        <a:pathLst>
                          <a:path w="6629400" h="0">
                            <a:moveTo>
                              <a:pt x="0" y="0"/>
                            </a:moveTo>
                            <a:lnTo>
                              <a:pt x="6629400" y="0"/>
                            </a:lnTo>
                          </a:path>
                        </a:pathLst>
                      </a:custGeom>
                      <a:ln w="9525">
                        <a:solidFill>
                          <a:srgbClr val="C0C0C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7008" from="43.200001pt,54pt" to="565.200001pt,54pt" stroked="true" strokeweight=".75pt" strokecolor="#c0c0c0">
              <v:stroke dashstyle="solid"/>
              <w10:wrap type="none"/>
            </v:line>
          </w:pict>
        </mc:Fallback>
      </mc:AlternateContent>
    </w:r>
    <w:r>
      <w:rPr>
        <w:sz w:val="20"/>
      </w:rPr>
      <mc:AlternateContent>
        <mc:Choice Requires="wps">
          <w:drawing>
            <wp:anchor distT="0" distB="0" distL="0" distR="0" allowOverlap="1" layoutInCell="1" locked="0" behindDoc="1" simplePos="0" relativeHeight="487529984">
              <wp:simplePos x="0" y="0"/>
              <wp:positionH relativeFrom="page">
                <wp:posOffset>535940</wp:posOffset>
              </wp:positionH>
              <wp:positionV relativeFrom="page">
                <wp:posOffset>447506</wp:posOffset>
              </wp:positionV>
              <wp:extent cx="948690" cy="19621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48690" cy="196215"/>
                      </a:xfrm>
                      <a:prstGeom prst="rect">
                        <a:avLst/>
                      </a:prstGeom>
                    </wps:spPr>
                    <wps:txbx>
                      <w:txbxContent>
                        <w:p>
                          <w:pPr>
                            <w:pStyle w:val="BodyText"/>
                            <w:spacing w:before="12"/>
                            <w:ind w:left="20"/>
                          </w:pPr>
                          <w:r>
                            <w:rPr/>
                            <w:t>January</w:t>
                          </w:r>
                          <w:r>
                            <w:rPr>
                              <w:spacing w:val="-6"/>
                            </w:rPr>
                            <w:t> </w:t>
                          </w:r>
                          <w:r>
                            <w:rPr>
                              <w:spacing w:val="-4"/>
                            </w:rPr>
                            <w:t>2010</w:t>
                          </w:r>
                        </w:p>
                      </w:txbxContent>
                    </wps:txbx>
                    <wps:bodyPr wrap="square" lIns="0" tIns="0" rIns="0" bIns="0" rtlCol="0">
                      <a:noAutofit/>
                    </wps:bodyPr>
                  </wps:wsp>
                </a:graphicData>
              </a:graphic>
            </wp:anchor>
          </w:drawing>
        </mc:Choice>
        <mc:Fallback>
          <w:pict>
            <v:shape style="position:absolute;margin-left:42.200001pt;margin-top:35.236717pt;width:74.7pt;height:15.45pt;mso-position-horizontal-relative:page;mso-position-vertical-relative:page;z-index:-15786496" type="#_x0000_t202" id="docshape7" filled="false" stroked="false">
              <v:textbox inset="0,0,0,0">
                <w:txbxContent>
                  <w:p>
                    <w:pPr>
                      <w:pStyle w:val="BodyText"/>
                      <w:spacing w:before="12"/>
                      <w:ind w:left="20"/>
                    </w:pPr>
                    <w:r>
                      <w:rPr/>
                      <w:t>January</w:t>
                    </w:r>
                    <w:r>
                      <w:rPr>
                        <w:spacing w:val="-6"/>
                      </w:rPr>
                      <w:t> </w:t>
                    </w:r>
                    <w:r>
                      <w:rPr>
                        <w:spacing w:val="-4"/>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0496">
              <wp:simplePos x="0" y="0"/>
              <wp:positionH relativeFrom="page">
                <wp:posOffset>6692186</wp:posOffset>
              </wp:positionH>
              <wp:positionV relativeFrom="page">
                <wp:posOffset>447506</wp:posOffset>
              </wp:positionV>
              <wp:extent cx="546735"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46735" cy="196215"/>
                      </a:xfrm>
                      <a:prstGeom prst="rect">
                        <a:avLst/>
                      </a:prstGeom>
                    </wps:spPr>
                    <wps:txbx>
                      <w:txbxContent>
                        <w:p>
                          <w:pPr>
                            <w:pStyle w:val="BodyText"/>
                            <w:spacing w:before="12"/>
                            <w:ind w:left="20"/>
                          </w:pPr>
                          <w:r>
                            <w:rPr/>
                            <w:t>Page</w:t>
                          </w:r>
                          <w:r>
                            <w:rPr>
                              <w:spacing w:val="-3"/>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26.943787pt;margin-top:35.236717pt;width:43.05pt;height:15.45pt;mso-position-horizontal-relative:page;mso-position-vertical-relative:page;z-index:-15785984" type="#_x0000_t202" id="docshape8" filled="false" stroked="false">
              <v:textbox inset="0,0,0,0">
                <w:txbxContent>
                  <w:p>
                    <w:pPr>
                      <w:pStyle w:val="BodyText"/>
                      <w:spacing w:before="12"/>
                      <w:ind w:left="20"/>
                    </w:pPr>
                    <w:r>
                      <w:rPr/>
                      <w:t>Page</w:t>
                    </w:r>
                    <w:r>
                      <w:rPr>
                        <w:spacing w:val="-3"/>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584"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02" w:hanging="361"/>
      </w:pPr>
      <w:rPr>
        <w:rFonts w:hint="default"/>
        <w:lang w:val="en-US" w:eastAsia="en-US" w:bidi="ar-SA"/>
      </w:rPr>
    </w:lvl>
    <w:lvl w:ilvl="2">
      <w:start w:val="0"/>
      <w:numFmt w:val="bullet"/>
      <w:lvlText w:val="•"/>
      <w:lvlJc w:val="left"/>
      <w:pPr>
        <w:ind w:left="3424" w:hanging="361"/>
      </w:pPr>
      <w:rPr>
        <w:rFonts w:hint="default"/>
        <w:lang w:val="en-US" w:eastAsia="en-US" w:bidi="ar-SA"/>
      </w:rPr>
    </w:lvl>
    <w:lvl w:ilvl="3">
      <w:start w:val="0"/>
      <w:numFmt w:val="bullet"/>
      <w:lvlText w:val="•"/>
      <w:lvlJc w:val="left"/>
      <w:pPr>
        <w:ind w:left="4346" w:hanging="361"/>
      </w:pPr>
      <w:rPr>
        <w:rFonts w:hint="default"/>
        <w:lang w:val="en-US" w:eastAsia="en-US" w:bidi="ar-SA"/>
      </w:rPr>
    </w:lvl>
    <w:lvl w:ilvl="4">
      <w:start w:val="0"/>
      <w:numFmt w:val="bullet"/>
      <w:lvlText w:val="•"/>
      <w:lvlJc w:val="left"/>
      <w:pPr>
        <w:ind w:left="5268" w:hanging="361"/>
      </w:pPr>
      <w:rPr>
        <w:rFonts w:hint="default"/>
        <w:lang w:val="en-US" w:eastAsia="en-US" w:bidi="ar-SA"/>
      </w:rPr>
    </w:lvl>
    <w:lvl w:ilvl="5">
      <w:start w:val="0"/>
      <w:numFmt w:val="bullet"/>
      <w:lvlText w:val="•"/>
      <w:lvlJc w:val="left"/>
      <w:pPr>
        <w:ind w:left="6190" w:hanging="361"/>
      </w:pPr>
      <w:rPr>
        <w:rFonts w:hint="default"/>
        <w:lang w:val="en-US" w:eastAsia="en-US" w:bidi="ar-SA"/>
      </w:rPr>
    </w:lvl>
    <w:lvl w:ilvl="6">
      <w:start w:val="0"/>
      <w:numFmt w:val="bullet"/>
      <w:lvlText w:val="•"/>
      <w:lvlJc w:val="left"/>
      <w:pPr>
        <w:ind w:left="7112" w:hanging="361"/>
      </w:pPr>
      <w:rPr>
        <w:rFonts w:hint="default"/>
        <w:lang w:val="en-US" w:eastAsia="en-US" w:bidi="ar-SA"/>
      </w:rPr>
    </w:lvl>
    <w:lvl w:ilvl="7">
      <w:start w:val="0"/>
      <w:numFmt w:val="bullet"/>
      <w:lvlText w:val="•"/>
      <w:lvlJc w:val="left"/>
      <w:pPr>
        <w:ind w:left="8034" w:hanging="361"/>
      </w:pPr>
      <w:rPr>
        <w:rFonts w:hint="default"/>
        <w:lang w:val="en-US" w:eastAsia="en-US" w:bidi="ar-SA"/>
      </w:rPr>
    </w:lvl>
    <w:lvl w:ilvl="8">
      <w:start w:val="0"/>
      <w:numFmt w:val="bullet"/>
      <w:lvlText w:val="•"/>
      <w:lvlJc w:val="left"/>
      <w:pPr>
        <w:ind w:left="8956"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271"/>
      <w:ind w:left="863"/>
      <w:outlineLvl w:val="1"/>
    </w:pPr>
    <w:rPr>
      <w:rFonts w:ascii="Arial" w:hAnsi="Arial" w:eastAsia="Arial" w:cs="Arial"/>
      <w:b/>
      <w:bCs/>
      <w:sz w:val="24"/>
      <w:szCs w:val="24"/>
      <w:lang w:val="en-US" w:eastAsia="en-US" w:bidi="ar-SA"/>
    </w:rPr>
  </w:style>
  <w:style w:styleId="Title" w:type="paragraph">
    <w:name w:val="Title"/>
    <w:basedOn w:val="Normal"/>
    <w:uiPriority w:val="1"/>
    <w:qFormat/>
    <w:pPr>
      <w:ind w:left="280" w:right="321"/>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271"/>
      <w:ind w:left="1583"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www.IRS.gov/newsroom" TargetMode="External"/><Relationship Id="rId8" Type="http://schemas.openxmlformats.org/officeDocument/2006/relationships/header" Target="head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dzjcb</dc:creator>
  <dc:title>Microsoft Word - FS-10-06.doc</dc:title>
  <dcterms:created xsi:type="dcterms:W3CDTF">2026-02-14T18:44:31Z</dcterms:created>
  <dcterms:modified xsi:type="dcterms:W3CDTF">2026-02-14T18:44:31Z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2010-01-04T00:00:00Z</vt:filetime>
  </property>
  <property fmtid="{D5CDD505-2E9C-101B-9397-08002B2CF9AE}" pid="3" name="Creator">
    <vt:lpwstr>PScript5.dll Version 5.2.2</vt:lpwstr>
  </property>
  <property fmtid="{D5CDD505-2E9C-101B-9397-08002B2CF9AE}" pid="4" name="LastSaved">
    <vt:filetime>2026-02-14T00:00:00Z</vt:filetime>
  </property>
  <property fmtid="{D5CDD505-2E9C-101B-9397-08002B2CF9AE}" pid="5" name="Producer">
    <vt:lpwstr>Acrobat Distiller 8.1.0 (Windows)</vt:lpwstr>
  </property>
</Properties>
</file>