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ricing-doc-food-roulette"/>
    <w:p>
      <w:pPr>
        <w:pStyle w:val="Heading1"/>
      </w:pPr>
      <w:r>
        <w:t xml:space="preserve">Pricing Doc — Food Roulette</w:t>
      </w:r>
    </w:p>
    <w:p>
      <w:pPr>
        <w:pStyle w:val="BlockText"/>
      </w:pPr>
      <w:r>
        <w:rPr>
          <w:b/>
          <w:bCs/>
        </w:rPr>
        <w:t xml:space="preserve">Loại tài liệu:</w:t>
      </w:r>
      <w:r>
        <w:t xml:space="preserve"> </w:t>
      </w:r>
      <w:r>
        <w:t xml:space="preserve">Bảng giá ·</w:t>
      </w:r>
      <w:r>
        <w:t xml:space="preserve"> </w:t>
      </w:r>
      <w:r>
        <w:rPr>
          <w:b/>
          <w:bCs/>
        </w:rPr>
        <w:t xml:space="preserve">Phòng ban:</w:t>
      </w:r>
      <w:r>
        <w:t xml:space="preserve"> </w:t>
      </w:r>
      <w:r>
        <w:t xml:space="preserve">Kinh doanh ·</w:t>
      </w:r>
      <w:r>
        <w:t xml:space="preserve"> </w:t>
      </w: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tổng-quan"/>
    <w:p>
      <w:pPr>
        <w:pStyle w:val="Heading2"/>
      </w:pPr>
      <w:r>
        <w:t xml:space="preserve">Tổng quan</w:t>
      </w:r>
    </w:p>
    <w:p>
      <w:pPr>
        <w:pStyle w:val="FirstParagraph"/>
      </w:pPr>
      <w:r>
        <w:t xml:space="preserve">Food Roulette có</w:t>
      </w:r>
      <w:r>
        <w:t xml:space="preserve"> </w:t>
      </w:r>
      <w:r>
        <w:rPr>
          <w:b/>
          <w:bCs/>
        </w:rPr>
        <w:t xml:space="preserve">2 nhóm khách hàng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Người dùng cuối (B2C)</w:t>
      </w:r>
      <w:r>
        <w:t xml:space="preserve"> </w:t>
      </w:r>
      <w:r>
        <w:t xml:space="preserve">— dùng app miễn phí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Quán ăn (B2B)</w:t>
      </w:r>
      <w:r>
        <w:t xml:space="preserve"> </w:t>
      </w:r>
      <w:r>
        <w:t xml:space="preserve">— trả phí để hiển thị ưu tiên</w:t>
      </w:r>
    </w:p>
    <w:p>
      <w:r>
        <w:pict>
          <v:rect style="width:0;height:1.5pt" o:hralign="center" o:hrstd="t" o:hr="t"/>
        </w:pict>
      </w:r>
    </w:p>
    <w:bookmarkEnd w:id="9"/>
    <w:bookmarkStart w:id="10" w:name="gói-cho-người-dùng-b2c"/>
    <w:p>
      <w:pPr>
        <w:pStyle w:val="Heading2"/>
      </w:pPr>
      <w:r>
        <w:t xml:space="preserve">1. Gói cho người dùng (B2C)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885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Gói</w:t>
            </w:r>
          </w:p>
        </w:tc>
        <w:tc>
          <w:tcPr/>
          <w:p>
            <w:pPr>
              <w:pStyle w:val="Compact"/>
            </w:pPr>
            <w:r>
              <w:t xml:space="preserve">Giá</w:t>
            </w:r>
          </w:p>
        </w:tc>
        <w:tc>
          <w:tcPr/>
          <w:p>
            <w:pPr>
              <w:pStyle w:val="Compact"/>
            </w:pPr>
            <w:r>
              <w:t xml:space="preserve">Tính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0đ</w:t>
            </w:r>
          </w:p>
        </w:tc>
        <w:tc>
          <w:tcPr/>
          <w:p>
            <w:pPr>
              <w:pStyle w:val="Compact"/>
            </w:pPr>
            <w:r>
              <w:t xml:space="preserve">Quay cơ bản, có quảng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49.000đ/tháng</w:t>
            </w:r>
          </w:p>
        </w:tc>
        <w:tc>
          <w:tcPr/>
          <w:p>
            <w:pPr>
              <w:pStyle w:val="Compact"/>
            </w:pPr>
            <w:r>
              <w:t xml:space="preserve">Không quảng cáo, lọc nâng cao, lưu lịch sử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99.000đ/tháng</w:t>
            </w:r>
          </w:p>
        </w:tc>
        <w:tc>
          <w:tcPr/>
          <w:p>
            <w:pPr>
              <w:pStyle w:val="Compact"/>
            </w:pPr>
            <w:r>
              <w:t xml:space="preserve">4 tài khoản, chia sẻ danh sách yêu thích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gói-cho-quán-ăn-b2b"/>
    <w:p>
      <w:pPr>
        <w:pStyle w:val="Heading2"/>
      </w:pPr>
      <w:r>
        <w:t xml:space="preserve">2. Gói cho quán ăn (B2B)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2782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Gói</w:t>
            </w:r>
          </w:p>
        </w:tc>
        <w:tc>
          <w:tcPr/>
          <w:p>
            <w:pPr>
              <w:pStyle w:val="Compact"/>
            </w:pPr>
            <w:r>
              <w:t xml:space="preserve">Giá / tháng</w:t>
            </w:r>
          </w:p>
        </w:tc>
        <w:tc>
          <w:tcPr/>
          <w:p>
            <w:pPr>
              <w:pStyle w:val="Compact"/>
            </w:pPr>
            <w:r>
              <w:t xml:space="preserve">Hiển thị</w:t>
            </w:r>
          </w:p>
        </w:tc>
        <w:tc>
          <w:tcPr/>
          <w:p>
            <w:pPr>
              <w:pStyle w:val="Compact"/>
            </w:pPr>
            <w:r>
              <w:t xml:space="preserve">Công cụ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Miễn phí</w:t>
            </w:r>
          </w:p>
        </w:tc>
        <w:tc>
          <w:tcPr/>
          <w:p>
            <w:pPr>
              <w:pStyle w:val="Compact"/>
            </w:pPr>
            <w:r>
              <w:t xml:space="preserve">Xuất hiện ngẫu nhiên</w:t>
            </w:r>
          </w:p>
        </w:tc>
        <w:tc>
          <w:tcPr/>
          <w:p>
            <w:pPr>
              <w:pStyle w:val="Compact"/>
            </w:pPr>
            <w:r>
              <w:t xml:space="preserve">Chỉnh sửa thông 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Featured</w:t>
            </w:r>
          </w:p>
        </w:tc>
        <w:tc>
          <w:tcPr/>
          <w:p>
            <w:pPr>
              <w:pStyle w:val="Compact"/>
            </w:pPr>
            <w:r>
              <w:t xml:space="preserve">500.000đ</w:t>
            </w:r>
          </w:p>
        </w:tc>
        <w:tc>
          <w:tcPr/>
          <w:p>
            <w:pPr>
              <w:pStyle w:val="Compact"/>
            </w:pPr>
            <w:r>
              <w:t xml:space="preserve">Tăng 3× tỷ lệ xuất hiện</w:t>
            </w:r>
          </w:p>
        </w:tc>
        <w:tc>
          <w:tcPr/>
          <w:p>
            <w:pPr>
              <w:pStyle w:val="Compact"/>
            </w:pPr>
            <w:r>
              <w:t xml:space="preserve">+ Thống kê lượt xem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1.500.000đ</w:t>
            </w:r>
          </w:p>
        </w:tc>
        <w:tc>
          <w:tcPr/>
          <w:p>
            <w:pPr>
              <w:pStyle w:val="Compact"/>
            </w:pPr>
            <w:r>
              <w:t xml:space="preserve">Ưu tiên cao nhất</w:t>
            </w:r>
          </w:p>
        </w:tc>
        <w:tc>
          <w:tcPr/>
          <w:p>
            <w:pPr>
              <w:pStyle w:val="Compact"/>
            </w:pPr>
            <w:r>
              <w:t xml:space="preserve">+ Đặt banner, promo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công-thức-roi-cho-quán"/>
    <w:p>
      <w:pPr>
        <w:pStyle w:val="Heading2"/>
      </w:pPr>
      <w:r>
        <w:t xml:space="preserve">3. Công thức ROI cho quán</w:t>
      </w:r>
    </w:p>
    <w:p>
      <w:pPr>
        <w:pStyle w:val="SourceCode"/>
      </w:pPr>
      <w:r>
        <w:rPr>
          <w:rStyle w:val="VerbatimChar"/>
        </w:rPr>
        <w:t xml:space="preserve">ROI = (Khách mới × Giá trị đơn trung bình × Số tháng) - Phí gói</w:t>
      </w:r>
    </w:p>
    <w:bookmarkStart w:id="12" w:name="ví-dụ-quán-premium-1.500.000đtháng"/>
    <w:p>
      <w:pPr>
        <w:pStyle w:val="Heading3"/>
      </w:pPr>
      <w:r>
        <w:t xml:space="preserve">Ví dụ: Quán Premium 1.500.000đ/tháng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Khách mới / tháng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trung bình</w:t>
            </w:r>
          </w:p>
        </w:tc>
        <w:tc>
          <w:tcPr/>
          <w:p>
            <w:pPr>
              <w:pStyle w:val="Compact"/>
            </w:pPr>
            <w:r>
              <w:t xml:space="preserve">80.000đ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Doanh thu thêm</w:t>
            </w:r>
          </w:p>
        </w:tc>
        <w:tc>
          <w:tcPr/>
          <w:p>
            <w:pPr>
              <w:pStyle w:val="Compact"/>
            </w:pPr>
            <w:r>
              <w:t xml:space="preserve">50 × 80.000 = 4.000.000đ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phí gói</w:t>
            </w:r>
          </w:p>
        </w:tc>
        <w:tc>
          <w:tcPr/>
          <w:p>
            <w:pPr>
              <w:pStyle w:val="Compact"/>
            </w:pPr>
            <w:r>
              <w:t xml:space="preserve">1.500.000đ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4.000.000 − 1.500.000 = 2.500.000đ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Hoàn vốn trong 11 ngày</w:t>
      </w:r>
      <w:r>
        <w:t xml:space="preserve"> </w:t>
      </w:r>
      <w:r>
        <w:t xml:space="preserve">nếu giữ được 50 khách mới/tháng.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hính-sách"/>
    <w:p>
      <w:pPr>
        <w:pStyle w:val="Heading2"/>
      </w:pPr>
      <w:r>
        <w:t xml:space="preserve">4. Chính sách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Dùng thử:</w:t>
      </w:r>
      <w:r>
        <w:t xml:space="preserve"> </w:t>
      </w:r>
      <w:r>
        <w:t xml:space="preserve">14 ngày miễn phí cho gói Pro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Huỷ:</w:t>
      </w:r>
      <w:r>
        <w:t xml:space="preserve"> </w:t>
      </w:r>
      <w:r>
        <w:t xml:space="preserve">Bất kỳ lúc nào, không ràng buộc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Thanh toán:</w:t>
      </w:r>
      <w:r>
        <w:t xml:space="preserve"> </w:t>
      </w:r>
      <w:r>
        <w:t xml:space="preserve">MoMo, ZaloPay, chuyển khoản, thẻ tín dụng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2026-07-24T07:13:36Z</dcterms:created>
  <dcterms:modified xsi:type="dcterms:W3CDTF">2026-07-24T07:13:36Z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