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376"/>
          <w:sz w:val="40"/>
        </w:rPr>
        <w:t>Response to MQL5 Practitioner Feedback</w:t>
      </w:r>
    </w:p>
    <w:p>
      <w:pPr>
        <w:jc w:val="center"/>
      </w:pPr>
      <w:r>
        <w:rPr>
          <w:i/>
          <w:color w:val="555555"/>
          <w:sz w:val="20"/>
        </w:rPr>
        <w:t>Validated on 6,534 real GC=F 1-minute bars  ·  May 11–15 2026  ·  Yahoo Finance</w:t>
        <w:br/>
        <w:t>Full analysis: docs/real_data_analysis.py  |  docs/real_data_analysis.md</w:t>
      </w:r>
    </w:p>
    <w:p/>
    <w:p>
      <w:pPr>
        <w:spacing w:before="240" w:after="80"/>
      </w:pPr>
      <w:r>
        <w:rPr>
          <w:b/>
          <w:color w:val="1A5376"/>
          <w:sz w:val="32"/>
        </w:rPr>
        <w:t>Q1: Does the Hawkes kernel shape matter for exit decisions?</w:t>
      </w:r>
    </w:p>
    <w:p>
      <w:pPr>
        <w:spacing w:after="120"/>
      </w:pPr>
      <w:r/>
      <w:r>
        <w:rPr>
          <w:b/>
        </w:rPr>
        <w:t>No, for binary exit decisions it does not.</w:t>
      </w:r>
      <w:r>
        <w:t xml:space="preserve"> On real gold futures volume data (ACF(1-min) = 0.358, ρ_session = 0.36), the ratio heuristic with the matched window W_s = 1/β tracks the true Hawkes intensity at Spearman r = </w:t>
      </w:r>
      <w:r>
        <w:rPr>
          <w:b/>
        </w:rPr>
        <w:t>0.475</w:t>
      </w:r>
      <w:r>
        <w:t xml:space="preserve"> — positive and sufficient for threshold crossings. The kernel shape becomes irrelevant because rank order is preserved.</w:t>
      </w:r>
    </w:p>
    <w:p>
      <w:pPr>
        <w:spacing w:after="120"/>
      </w:pPr>
      <w:r>
        <w:t xml:space="preserve">What </w:t>
      </w:r>
      <w:r>
        <w:rPr>
          <w:b/>
        </w:rPr>
        <w:t>does</w:t>
      </w:r>
      <w:r>
        <w:t xml:space="preserve"> matter is window sizing. Across 53 real burst events, the matched window (W_s = 1 min) detected bursts in </w:t>
      </w:r>
      <w:r>
        <w:rPr>
          <w:b/>
        </w:rPr>
        <w:t>0.94 minutes</w:t>
      </w:r>
      <w:r>
        <w:t xml:space="preserve"> versus </w:t>
      </w:r>
      <w:r>
        <w:rPr>
          <w:b/>
        </w:rPr>
        <w:t>14.1 minutes</w:t>
      </w:r>
      <w:r>
        <w:t xml:space="preserve"> for a 10× mismatched window — </w:t>
      </w:r>
      <w:r>
        <w:rPr>
          <w:b/>
        </w:rPr>
        <w:t>15× faster</w:t>
      </w:r>
      <w:r>
        <w:t>.</w:t>
      </w:r>
    </w:p>
    <w:p>
      <w:pPr>
        <w:spacing w:after="120"/>
      </w:pPr>
      <w:r/>
      <w:r>
        <w:rPr>
          <w:b/>
        </w:rPr>
        <w:t>Recommendation:</w:t>
      </w:r>
      <w:r>
        <w:t xml:space="preserve"> Keep the ratio heuristic. Calibrate W_s = 1/β from your tick inter-arrival ACF. For near-critical excitation (ρ → 1, e.g. news events on XAUUSD), switch to the O(1) recursive Hawkes update — one float accumulator per tick.</w:t>
      </w:r>
    </w:p>
    <w:p>
      <w:pPr>
        <w:spacing w:before="240" w:after="80"/>
      </w:pPr>
      <w:r>
        <w:rPr>
          <w:b/>
          <w:color w:val="1A5376"/>
          <w:sz w:val="32"/>
        </w:rPr>
        <w:t>Q2: Is Kalman meaningfully better than EMA?</w:t>
      </w:r>
    </w:p>
    <w:p>
      <w:pPr>
        <w:spacing w:after="120"/>
      </w:pPr>
      <w:r/>
      <w:r>
        <w:rPr>
          <w:b/>
        </w:rPr>
        <w:t>Yes — but only on the right metric.</w:t>
      </w:r>
      <w:r>
        <w:t xml:space="preserve"> On real GC=F data the tick-level SNR is </w:t>
      </w:r>
      <w:r>
        <w:rPr>
          <w:b/>
        </w:rPr>
        <w:t>0.088</w:t>
      </w:r>
      <w:r>
        <w:t xml:space="preserve"> (spread-dominated, confirmed), meaning filtered price RMSE is near-identical between Kalman and EMA. The advantage is entirely in adverse-selection detection.</w:t>
      </w:r>
    </w:p>
    <w:p>
      <w:pPr>
        <w:spacing w:after="120"/>
      </w:pPr>
      <w:r>
        <w:t xml:space="preserve">Across </w:t>
      </w:r>
      <w:r>
        <w:rPr>
          <w:b/>
        </w:rPr>
        <w:t>203 rolling 30-minute trade windows</w:t>
      </w:r>
      <w:r>
        <w:t xml:space="preserve"> on real data, the Kalman z-score rule (z &gt; 2.0) produced FPR = </w:t>
      </w:r>
      <w:r>
        <w:rPr>
          <w:b/>
        </w:rPr>
        <w:t>38%</w:t>
      </w:r>
      <w:r>
        <w:t xml:space="preserve"> versus the EMA ATR rule's </w:t>
      </w:r>
      <w:r>
        <w:rPr>
          <w:b/>
        </w:rPr>
        <w:t>75%</w:t>
      </w:r>
      <w:r>
        <w:t xml:space="preserve"> — a </w:t>
      </w:r>
      <w:r>
        <w:rPr>
          <w:b/>
        </w:rPr>
        <w:t>49% reduction</w:t>
      </w:r>
      <w:r>
        <w:t xml:space="preserve"> in false exits. In wide-spread periods (Q75 spread), the reduction reaches </w:t>
      </w:r>
      <w:r>
        <w:rPr>
          <w:b/>
        </w:rPr>
        <w:t>83%</w:t>
      </w:r>
      <w:r>
        <w:t>. The EMA cannot adapt its threshold when the spread widens; the Kalman does so automatically through R_obs = (spread/2)².</w:t>
      </w:r>
    </w:p>
    <w:p>
      <w:pPr>
        <w:spacing w:after="120"/>
      </w:pPr>
      <w:r>
        <w:t>Replace your ATR-fraction check with:</w:t>
      </w:r>
    </w:p>
    <w:p>
      <w:pPr>
        <w:spacing w:before="40" w:after="40"/>
        <w:ind w:left="576"/>
      </w:pPr>
      <w:r>
        <w:rPr>
          <w:rFonts w:ascii="Courier New" w:hAnsi="Courier New"/>
          <w:color w:val="2D6A4F"/>
          <w:sz w:val="18"/>
        </w:rPr>
        <w:t>z = |p_filtered − p_entry| / √(P[0,0] + (spread/2)²)  &gt;  2.0</w:t>
      </w:r>
    </w:p>
    <w:p>
      <w:pPr>
        <w:spacing w:after="120"/>
      </w:pPr>
      <w:r>
        <w:t>Same compute cost as your current ATR check; materially fewer false exits, especially when the spread spikes.</w:t>
      </w:r>
    </w:p>
    <w:p>
      <w:pPr>
        <w:spacing w:before="240" w:after="80"/>
      </w:pPr>
      <w:r>
        <w:rPr>
          <w:b/>
          <w:color w:val="1A5376"/>
          <w:sz w:val="32"/>
        </w:rPr>
        <w:t>Q3: HJB boundary when adverse-selection and inventory gradients conflict near the spread</w:t>
      </w:r>
    </w:p>
    <w:p>
      <w:pPr>
        <w:spacing w:after="120"/>
      </w:pPr>
      <w:r/>
      <w:r>
        <w:rPr>
          <w:b/>
        </w:rPr>
        <w:t>Use the three-region policy.</w:t>
      </w:r>
      <w:r>
        <w:t xml:space="preserve"> On real GC=F data with a 2-tick scalp target ($0.20) and typical ECN spread ($0.15), the no-exit boundary is q_min = </w:t>
      </w:r>
      <w:r>
        <w:rPr>
          <w:b/>
        </w:rPr>
        <w:t>0.375</w:t>
      </w:r>
      <w:r>
        <w:t xml:space="preserve"> — any position below 37.5% of capacity has spread cost exceeding expected gain and should never be exited. This is stronger than the paper anticipated: for GC futures scalpers at typical position sizes, the spread barrier is the dominant constraint.</w:t>
      </w:r>
    </w:p>
    <w:p>
      <w:pPr>
        <w:spacing w:after="120"/>
      </w:pPr>
      <w:r>
        <w:t>The three regions:</w:t>
      </w:r>
    </w:p>
    <w:p>
      <w:pPr>
        <w:spacing w:before="40" w:after="40"/>
        <w:ind w:left="576"/>
      </w:pPr>
      <w:r>
        <w:rPr>
          <w:rFonts w:ascii="Courier New" w:hAnsi="Courier New"/>
          <w:color w:val="2D6A4F"/>
          <w:sz w:val="18"/>
        </w:rPr>
        <w:t>|q| &lt; q_min = half_spread / E[gain]   →  never exit (spread &gt; gain)</w:t>
      </w:r>
    </w:p>
    <w:p>
      <w:pPr>
        <w:spacing w:before="40" w:after="40"/>
        <w:ind w:left="576"/>
      </w:pPr>
      <w:r>
        <w:rPr>
          <w:rFonts w:ascii="Courier New" w:hAnsi="Courier New"/>
          <w:color w:val="2D6A4F"/>
          <w:sz w:val="18"/>
        </w:rPr>
        <w:t>q_min ≤ |q| &lt; q* = κ·imb / (2A)      →  exit only if Kalman z &gt; 2</w:t>
      </w:r>
    </w:p>
    <w:p>
      <w:pPr>
        <w:spacing w:before="40" w:after="40"/>
        <w:ind w:left="576"/>
      </w:pPr>
      <w:r>
        <w:rPr>
          <w:rFonts w:ascii="Courier New" w:hAnsi="Courier New"/>
          <w:color w:val="2D6A4F"/>
          <w:sz w:val="18"/>
        </w:rPr>
        <w:t>|q| ≥ q*                              →  exit when V(q,λ) + F &gt; θ·exp(−t/τ)</w:t>
      </w:r>
    </w:p>
    <w:p>
      <w:pPr>
        <w:spacing w:after="120"/>
      </w:pPr>
      <w:r>
        <w:t xml:space="preserve">On real data at Q = 0.40, </w:t>
      </w:r>
      <w:r>
        <w:rPr>
          <w:b/>
        </w:rPr>
        <w:t>85% of ticks</w:t>
      </w:r>
      <w:r>
        <w:t xml:space="preserve"> fall in the HJB-active zone. At Q = 0.08 with a 2-tick target, </w:t>
      </w:r>
      <w:r>
        <w:rPr>
          <w:b/>
        </w:rPr>
        <w:t>100%</w:t>
      </w:r>
      <w:r>
        <w:t xml:space="preserve"> are in the never-exit zone — you need at least a </w:t>
      </w:r>
      <w:r>
        <w:rPr>
          <w:b/>
        </w:rPr>
        <w:t>10-tick target ($1.00)</w:t>
      </w:r>
      <w:r>
        <w:t xml:space="preserve"> to trade the HJB surface efficiently at that position size.</w:t>
      </w:r>
    </w:p>
    <w:p>
      <w:pPr>
        <w:spacing w:after="120"/>
      </w:pPr>
      <w:r>
        <w:t>To resolve the gradient conflict: q* is the interior equilibrium where marginal inventory risk exactly offsets the adverse-selection benefit from a favourable book imbalance. Compute it from the current LOB imbalance each tick; do not exit if the book is with you and |q| &lt; q*.</w:t>
      </w:r>
    </w:p>
    <w:p/>
    <w:p>
      <w:pPr>
        <w:spacing w:before="160" w:after="80"/>
      </w:pPr>
      <w:r>
        <w:rPr>
          <w:b/>
          <w:color w:val="2D6A4F"/>
          <w:sz w:val="26"/>
        </w:rPr>
        <w:t>Supporting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Claim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Prediction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</w:rPr>
              <w:t>Real GC=F result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Hawkes: matched window Spearman r &gt; 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r &gt; 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 xml:space="preserve">r = </w:t>
            </w:r>
            <w:r>
              <w:rPr>
                <w:b/>
              </w:rPr>
              <w:t>0.475</w:t>
            </w:r>
            <w:r>
              <w:t xml:space="preserve"> ✓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Hawkes: matched window faster detection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lower lag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15× speedup</w:t>
            </w:r>
            <w:r>
              <w:t xml:space="preserve"> (0.94 vs 14.1 min)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Kalman: tick SNR spread-dominated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SNR ≪ 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 xml:space="preserve">SNR = </w:t>
            </w:r>
            <w:r>
              <w:rPr>
                <w:b/>
              </w:rPr>
              <w:t>0.088</w:t>
            </w:r>
            <w:r>
              <w:t xml:space="preserve"> ✓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Kalman: FPR reduction vs EMA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40–55%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49% overall, 83% wide-spread</w:t>
            </w:r>
            <w:r/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Spread: Gamma shape parameter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k ≈ 2.78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 xml:space="preserve">k = </w:t>
            </w:r>
            <w:r>
              <w:rPr>
                <w:b/>
              </w:rPr>
              <w:t>2.73</w:t>
            </w:r>
            <w:r>
              <w:t xml:space="preserve"> (2% error)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HJB: q_min linear in spread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Spearman 1.0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 xml:space="preserve">r = </w:t>
            </w:r>
            <w:r>
              <w:rPr>
                <w:b/>
              </w:rPr>
              <w:t>1.000</w:t>
            </w:r>
            <w:r>
              <w:t xml:space="preserve"> ✓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HJB: no-exit zone active on real metals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significant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dominant</w:t>
            </w:r>
            <w:r>
              <w:t xml:space="preserve"> for 2-tick GC target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