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76"/>
          <w:sz w:val="40"/>
        </w:rPr>
        <w:t>Response to MQL5 Practitioner Feedback</w:t>
      </w:r>
    </w:p>
    <w:p>
      <w:pPr>
        <w:jc w:val="center"/>
      </w:pPr>
      <w:r>
        <w:rPr>
          <w:i/>
          <w:color w:val="555555"/>
          <w:sz w:val="20"/>
        </w:rPr>
        <w:t>Validated on 6,534 real GC=F 1-minute bars  ·  May 11–15 2026  ·  Yahoo Finance</w:t>
        <w:br/>
        <w:t>Full analysis: docs/real_data_analysis.py  |  docs/real_data_analysis.md</w:t>
      </w:r>
    </w:p>
    <w:p/>
    <w:p>
      <w:pPr>
        <w:spacing w:before="240" w:after="80"/>
      </w:pPr>
      <w:r>
        <w:rPr>
          <w:b/>
          <w:color w:val="1A5376"/>
          <w:sz w:val="32"/>
        </w:rPr>
        <w:t>Q1: Does the Hawkes kernel shape matter for exit decisions?</w:t>
      </w:r>
    </w:p>
    <w:p>
      <w:pPr>
        <w:spacing w:after="120"/>
      </w:pPr>
      <w:r/>
      <w:r>
        <w:rPr>
          <w:b/>
        </w:rPr>
        <w:t>No.</w:t>
      </w:r>
      <w:r>
        <w:t xml:space="preserve"> On real GC=F volume data (ACF = 0.358), the ratio heuristic with matched window W_s = 1/β achieves Spearman r = </w:t>
      </w:r>
      <w:r>
        <w:rPr>
          <w:b/>
        </w:rPr>
        <w:t>0.475</w:t>
      </w:r>
      <w:r>
        <w:t xml:space="preserve"> against true Hawkes intensity — sufficient for threshold crossings. Across 53 real bursts, the matched window detected </w:t>
      </w:r>
      <w:r>
        <w:rPr>
          <w:b/>
        </w:rPr>
        <w:t>15× faster</w:t>
      </w:r>
      <w:r>
        <w:t xml:space="preserve"> (0.94 min vs 14.1 min). Calibrate W_s = 1/β from your tick ACF.</w:t>
      </w:r>
    </w:p>
    <w:p>
      <w:pPr>
        <w:spacing w:before="240" w:after="80"/>
      </w:pPr>
      <w:r>
        <w:rPr>
          <w:b/>
          <w:color w:val="1A5376"/>
          <w:sz w:val="32"/>
        </w:rPr>
        <w:t>Q2: Is Kalman meaningfully better than EMA?</w:t>
      </w:r>
    </w:p>
    <w:p>
      <w:pPr>
        <w:spacing w:after="120"/>
      </w:pPr>
      <w:r/>
      <w:r>
        <w:rPr>
          <w:b/>
        </w:rPr>
        <w:t>Yes, for adverse-selection detection.</w:t>
      </w:r>
      <w:r>
        <w:t xml:space="preserve"> Tick SNR = </w:t>
      </w:r>
      <w:r>
        <w:rPr>
          <w:b/>
        </w:rPr>
        <w:t>0.088</w:t>
      </w:r>
      <w:r>
        <w:t xml:space="preserve"> (spread-dominated). Across 203 real 30-minute trade windows, Kalman z-score FPR = </w:t>
      </w:r>
      <w:r>
        <w:rPr>
          <w:b/>
        </w:rPr>
        <w:t>38%</w:t>
      </w:r>
      <w:r>
        <w:t xml:space="preserve"> vs EMA ATR FPR = </w:t>
      </w:r>
      <w:r>
        <w:rPr>
          <w:b/>
        </w:rPr>
        <w:t>75%</w:t>
      </w:r>
      <w:r>
        <w:t xml:space="preserve"> — a </w:t>
      </w:r>
      <w:r>
        <w:rPr>
          <w:b/>
        </w:rPr>
        <w:t>49% reduction</w:t>
      </w:r>
      <w:r>
        <w:t xml:space="preserve">; </w:t>
      </w:r>
      <w:r>
        <w:rPr>
          <w:b/>
        </w:rPr>
        <w:t>83%</w:t>
      </w:r>
      <w:r>
        <w:t xml:space="preserve"> in wide-spread periods. Replace ATR check with:</w:t>
      </w:r>
    </w:p>
    <w:p>
      <w:pPr>
        <w:spacing w:before="40" w:after="40"/>
        <w:ind w:left="576"/>
      </w:pPr>
      <w:r>
        <w:rPr>
          <w:rFonts w:ascii="Courier New" w:hAnsi="Courier New"/>
          <w:color w:val="2D6A4F"/>
          <w:sz w:val="18"/>
        </w:rPr>
        <w:t>z = |p_filtered − p_entry| / √(P[0,0] + (spread/2)²)  &gt;  2.0</w:t>
      </w:r>
    </w:p>
    <w:p>
      <w:pPr>
        <w:spacing w:before="240" w:after="80"/>
      </w:pPr>
      <w:r>
        <w:rPr>
          <w:b/>
          <w:color w:val="1A5376"/>
          <w:sz w:val="32"/>
        </w:rPr>
        <w:t>Q3: HJB boundary when adverse-selection and inventory gradients conflict near the spread</w:t>
      </w:r>
    </w:p>
    <w:p>
      <w:pPr>
        <w:spacing w:after="120"/>
      </w:pPr>
      <w:r/>
      <w:r>
        <w:rPr>
          <w:b/>
        </w:rPr>
        <w:t>Use the three-region policy.</w:t>
      </w:r>
      <w:r>
        <w:t xml:space="preserve"> Real GC=F data: q_min = </w:t>
      </w:r>
      <w:r>
        <w:rPr>
          <w:b/>
        </w:rPr>
        <w:t>0.375</w:t>
      </w:r>
      <w:r>
        <w:t xml:space="preserve"> for a 2-tick target — positions below 37.5% of capacity should never exit. At Q = 0.40, </w:t>
      </w:r>
      <w:r>
        <w:rPr>
          <w:b/>
        </w:rPr>
        <w:t>85% of ticks</w:t>
      </w:r>
      <w:r>
        <w:t xml:space="preserve"> are HJB-active. Do not exit if book imbalance favours you and |q| &lt; q* = κ·imb/(2A).</w:t>
      </w:r>
    </w:p>
    <w:p>
      <w:pPr>
        <w:spacing w:before="40" w:after="40"/>
        <w:ind w:left="576"/>
      </w:pPr>
      <w:r>
        <w:rPr>
          <w:rFonts w:ascii="Courier New" w:hAnsi="Courier New"/>
          <w:color w:val="2D6A4F"/>
          <w:sz w:val="18"/>
        </w:rPr>
        <w:t>|q| &lt; q_min                  →  never exit</w:t>
      </w:r>
    </w:p>
    <w:p>
      <w:pPr>
        <w:spacing w:before="40" w:after="40"/>
        <w:ind w:left="576"/>
      </w:pPr>
      <w:r>
        <w:rPr>
          <w:rFonts w:ascii="Courier New" w:hAnsi="Courier New"/>
          <w:color w:val="2D6A4F"/>
          <w:sz w:val="18"/>
        </w:rPr>
        <w:t>q_min ≤ |q| &lt; q*             →  exit only if Kalman z &gt; 2</w:t>
      </w:r>
    </w:p>
    <w:p>
      <w:pPr>
        <w:spacing w:before="40" w:after="40"/>
        <w:ind w:left="576"/>
      </w:pPr>
      <w:r>
        <w:rPr>
          <w:rFonts w:ascii="Courier New" w:hAnsi="Courier New"/>
          <w:color w:val="2D6A4F"/>
          <w:sz w:val="18"/>
        </w:rPr>
        <w:t>|q| ≥ q*                     →  exit when V(q,λ) + F &gt; θ·exp(−t/τ)</w:t>
      </w:r>
    </w:p>
    <w:p/>
    <w:p>
      <w:pPr>
        <w:spacing w:before="160" w:after="80"/>
      </w:pPr>
      <w:r>
        <w:rPr>
          <w:b/>
          <w:color w:val="2D6A4F"/>
          <w:sz w:val="26"/>
        </w:rPr>
        <w:t>Supporting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</w:rPr>
              <w:t>Prediction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</w:rPr>
              <w:t>Real GC=F 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Hawkes: matched window Spearman r &gt; 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r &gt; 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 xml:space="preserve">r = </w:t>
            </w:r>
            <w:r>
              <w:rPr>
                <w:b/>
              </w:rPr>
              <w:t>0.475</w:t>
            </w:r>
            <w:r>
              <w:t xml:space="preserve"> 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Hawkes: matched window faster detection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lower lag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15× speedup</w:t>
            </w:r>
            <w:r>
              <w:t xml:space="preserve"> (0.94 vs 14.1 min)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Kalman: tick SNR spread-dominated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SNR ≪ 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 xml:space="preserve">SNR = </w:t>
            </w:r>
            <w:r>
              <w:rPr>
                <w:b/>
              </w:rPr>
              <w:t>0.088</w:t>
            </w:r>
            <w:r>
              <w:t xml:space="preserve"> 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Kalman: FPR reduction vs EMA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40–55%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49% overall, 83% wide-spread</w:t>
            </w:r>
            <w:r/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Spread: Gamma shape parameter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k ≈ 2.78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 xml:space="preserve">k = </w:t>
            </w:r>
            <w:r>
              <w:rPr>
                <w:b/>
              </w:rPr>
              <w:t>2.73</w:t>
            </w:r>
            <w:r>
              <w:t xml:space="preserve"> (2% error)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HJB: q_min linear in spread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Spearman 1.0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 xml:space="preserve">r = </w:t>
            </w:r>
            <w:r>
              <w:rPr>
                <w:b/>
              </w:rPr>
              <w:t>1.000</w:t>
            </w:r>
            <w:r>
              <w:t xml:space="preserve"> 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t>HJB: no-exit zone active on real metals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t>significant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b/>
              </w:rPr>
              <w:t>dominant</w:t>
            </w:r>
            <w:r>
              <w:t xml:space="preserve"> for 2-tick GC target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