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EF" w:rsidRDefault="00DE44EF" w:rsidP="00DE44EF">
      <w:pPr>
        <w:pStyle w:val="Heading2"/>
        <w:numPr>
          <w:ilvl w:val="0"/>
          <w:numId w:val="0"/>
        </w:numPr>
        <w:ind w:left="576" w:hanging="576"/>
      </w:pPr>
      <w:bookmarkStart w:id="0" w:name="_Ref162754824"/>
      <w:bookmarkStart w:id="1" w:name="_Toc191724240"/>
      <w:r w:rsidRPr="000348DA">
        <w:t>Functional Requirements</w:t>
      </w:r>
      <w:bookmarkEnd w:id="0"/>
      <w:bookmarkEnd w:id="1"/>
    </w:p>
    <w:p w:rsidR="00220B91" w:rsidRDefault="00220B91"/>
    <w:p w:rsidR="00DE44EF" w:rsidRDefault="00DE4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includes all of the functional requirements of the Accounting and Finance system. Below is the requirements which has a numbering scheme </w:t>
      </w:r>
      <w:r w:rsidRPr="00DE44EF">
        <w:rPr>
          <w:rFonts w:ascii="Arial" w:hAnsi="Arial" w:cs="Arial"/>
        </w:rPr>
        <w:t>- BR_LR_0## (BR for Business Requirem</w:t>
      </w:r>
      <w:r>
        <w:rPr>
          <w:rFonts w:ascii="Arial" w:hAnsi="Arial" w:cs="Arial"/>
        </w:rPr>
        <w:t>ent, LR for Labor Relations), and f</w:t>
      </w:r>
      <w:r w:rsidRPr="00DE44EF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the</w:t>
      </w:r>
      <w:r w:rsidRPr="00DE44EF">
        <w:rPr>
          <w:rFonts w:ascii="Arial" w:hAnsi="Arial" w:cs="Arial"/>
        </w:rPr>
        <w:t xml:space="preserve"> small projects simply BR-## would suffice.</w:t>
      </w:r>
    </w:p>
    <w:p w:rsidR="00DE44EF" w:rsidRDefault="00DE44EF">
      <w:pPr>
        <w:rPr>
          <w:rFonts w:ascii="Arial" w:hAnsi="Arial" w:cs="Arial"/>
        </w:rPr>
      </w:pPr>
    </w:p>
    <w:p w:rsidR="00DE44EF" w:rsidRDefault="00DE44EF">
      <w:pPr>
        <w:rPr>
          <w:rFonts w:ascii="Arial" w:hAnsi="Arial" w:cs="Arial"/>
        </w:rPr>
      </w:pPr>
    </w:p>
    <w:tbl>
      <w:tblPr>
        <w:tblW w:w="10195" w:type="dxa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DE44EF" w:rsidRPr="00BA7B0D" w:rsidTr="00DE44EF">
        <w:trPr>
          <w:cantSplit/>
          <w:tblHeader/>
        </w:trPr>
        <w:tc>
          <w:tcPr>
            <w:tcW w:w="1102" w:type="dxa"/>
            <w:vAlign w:val="center"/>
          </w:tcPr>
          <w:p w:rsidR="00DE44EF" w:rsidRPr="00004602" w:rsidRDefault="00DE44EF" w:rsidP="00DE44EF">
            <w:pPr>
              <w:pStyle w:val="CellHead"/>
              <w:rPr>
                <w:color w:val="7030A0"/>
                <w:sz w:val="18"/>
                <w:szCs w:val="18"/>
              </w:rPr>
            </w:pPr>
            <w:r w:rsidRPr="00004602">
              <w:rPr>
                <w:color w:val="7030A0"/>
                <w:sz w:val="18"/>
                <w:szCs w:val="18"/>
              </w:rPr>
              <w:t>Req</w:t>
            </w:r>
            <w:bookmarkStart w:id="2" w:name="_GoBack"/>
            <w:bookmarkEnd w:id="2"/>
            <w:r w:rsidRPr="00004602">
              <w:rPr>
                <w:color w:val="7030A0"/>
                <w:sz w:val="18"/>
                <w:szCs w:val="18"/>
              </w:rPr>
              <w:t>#</w:t>
            </w:r>
          </w:p>
        </w:tc>
        <w:tc>
          <w:tcPr>
            <w:tcW w:w="2906" w:type="dxa"/>
            <w:vAlign w:val="center"/>
          </w:tcPr>
          <w:p w:rsidR="00DE44EF" w:rsidRPr="00004602" w:rsidRDefault="00DE44EF" w:rsidP="00DE44EF">
            <w:pPr>
              <w:pStyle w:val="CellHead"/>
              <w:rPr>
                <w:color w:val="7030A0"/>
                <w:sz w:val="18"/>
                <w:szCs w:val="18"/>
              </w:rPr>
            </w:pPr>
            <w:r w:rsidRPr="00004602">
              <w:rPr>
                <w:color w:val="7030A0"/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:rsidR="00DE44EF" w:rsidRPr="00004602" w:rsidRDefault="00DE44EF" w:rsidP="00DE44EF">
            <w:pPr>
              <w:pStyle w:val="CellHead"/>
              <w:rPr>
                <w:color w:val="7030A0"/>
                <w:sz w:val="18"/>
                <w:szCs w:val="18"/>
              </w:rPr>
            </w:pPr>
            <w:r w:rsidRPr="00004602">
              <w:rPr>
                <w:color w:val="7030A0"/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:rsidR="00DE44EF" w:rsidRPr="00004602" w:rsidRDefault="00DE44EF" w:rsidP="00DE44EF">
            <w:pPr>
              <w:pStyle w:val="CellHead"/>
              <w:rPr>
                <w:color w:val="7030A0"/>
                <w:sz w:val="18"/>
                <w:szCs w:val="18"/>
              </w:rPr>
            </w:pPr>
            <w:r w:rsidRPr="00004602">
              <w:rPr>
                <w:color w:val="7030A0"/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:rsidR="00DE44EF" w:rsidRPr="00004602" w:rsidRDefault="00DE44EF" w:rsidP="00DE44EF">
            <w:pPr>
              <w:pStyle w:val="CellHead"/>
              <w:rPr>
                <w:color w:val="7030A0"/>
                <w:sz w:val="18"/>
                <w:szCs w:val="18"/>
              </w:rPr>
            </w:pPr>
            <w:r w:rsidRPr="00004602">
              <w:rPr>
                <w:color w:val="7030A0"/>
                <w:sz w:val="18"/>
                <w:szCs w:val="18"/>
              </w:rPr>
              <w:t>Date R</w:t>
            </w:r>
            <w:r w:rsidR="00374D97">
              <w:rPr>
                <w:color w:val="7030A0"/>
                <w:sz w:val="18"/>
                <w:szCs w:val="18"/>
              </w:rPr>
              <w:t>e</w:t>
            </w:r>
            <w:r w:rsidRPr="00004602">
              <w:rPr>
                <w:color w:val="7030A0"/>
                <w:sz w:val="18"/>
                <w:szCs w:val="18"/>
              </w:rPr>
              <w:t>v</w:t>
            </w:r>
            <w:r w:rsidR="00374D97">
              <w:rPr>
                <w:color w:val="7030A0"/>
                <w:sz w:val="18"/>
                <w:szCs w:val="18"/>
              </w:rPr>
              <w:t>ie</w:t>
            </w:r>
            <w:r w:rsidRPr="00004602">
              <w:rPr>
                <w:color w:val="7030A0"/>
                <w:sz w:val="18"/>
                <w:szCs w:val="18"/>
              </w:rPr>
              <w:t>w</w:t>
            </w:r>
            <w:r w:rsidR="00374D97">
              <w:rPr>
                <w:color w:val="7030A0"/>
                <w:sz w:val="18"/>
                <w:szCs w:val="18"/>
              </w:rPr>
              <w:t>e</w:t>
            </w:r>
            <w:r w:rsidRPr="00004602">
              <w:rPr>
                <w:color w:val="7030A0"/>
                <w:sz w:val="18"/>
                <w:szCs w:val="18"/>
              </w:rPr>
              <w:t>d</w:t>
            </w:r>
          </w:p>
        </w:tc>
        <w:tc>
          <w:tcPr>
            <w:tcW w:w="1440" w:type="dxa"/>
            <w:vAlign w:val="center"/>
          </w:tcPr>
          <w:p w:rsidR="00DE44EF" w:rsidRPr="00004602" w:rsidRDefault="00DE44EF" w:rsidP="00DE44EF">
            <w:pPr>
              <w:pStyle w:val="CellHead"/>
              <w:rPr>
                <w:color w:val="7030A0"/>
                <w:sz w:val="18"/>
                <w:szCs w:val="18"/>
              </w:rPr>
            </w:pPr>
            <w:r w:rsidRPr="00004602">
              <w:rPr>
                <w:color w:val="7030A0"/>
                <w:sz w:val="18"/>
                <w:szCs w:val="18"/>
              </w:rPr>
              <w:t>Reviewed / Approved</w:t>
            </w:r>
          </w:p>
        </w:tc>
      </w:tr>
      <w:tr w:rsidR="00DE44EF" w:rsidRPr="00D77421" w:rsidTr="00DE44EF">
        <w:trPr>
          <w:cantSplit/>
        </w:trPr>
        <w:tc>
          <w:tcPr>
            <w:tcW w:w="1102" w:type="dxa"/>
          </w:tcPr>
          <w:p w:rsidR="00DE44EF" w:rsidRPr="00004602" w:rsidRDefault="00DE44EF" w:rsidP="00DE44EF">
            <w:pPr>
              <w:pStyle w:val="Cell"/>
              <w:rPr>
                <w:color w:val="7030A0"/>
                <w:sz w:val="16"/>
                <w:szCs w:val="16"/>
              </w:rPr>
            </w:pPr>
            <w:r w:rsidRPr="00004602">
              <w:rPr>
                <w:color w:val="7030A0"/>
                <w:sz w:val="16"/>
                <w:szCs w:val="16"/>
              </w:rPr>
              <w:t>BR_LR_05</w:t>
            </w:r>
          </w:p>
        </w:tc>
        <w:tc>
          <w:tcPr>
            <w:tcW w:w="2906" w:type="dxa"/>
          </w:tcPr>
          <w:p w:rsidR="00DE44EF" w:rsidRPr="00004602" w:rsidRDefault="00DE44EF" w:rsidP="0092604C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 xml:space="preserve">The system should associate </w:t>
            </w:r>
            <w:r w:rsidR="0092604C">
              <w:rPr>
                <w:color w:val="7030A0"/>
              </w:rPr>
              <w:t>a archive for every accounting and finance job class</w:t>
            </w:r>
          </w:p>
        </w:tc>
        <w:tc>
          <w:tcPr>
            <w:tcW w:w="2767" w:type="dxa"/>
          </w:tcPr>
          <w:p w:rsidR="0092604C" w:rsidRPr="00004602" w:rsidRDefault="00DE44EF" w:rsidP="0092604C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>Business Process = “</w:t>
            </w:r>
            <w:r w:rsidR="0092604C">
              <w:rPr>
                <w:color w:val="7030A0"/>
              </w:rPr>
              <w:t>database recording”</w:t>
            </w:r>
          </w:p>
        </w:tc>
        <w:tc>
          <w:tcPr>
            <w:tcW w:w="90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>3</w:t>
            </w:r>
          </w:p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  <w:tc>
          <w:tcPr>
            <w:tcW w:w="1080" w:type="dxa"/>
          </w:tcPr>
          <w:p w:rsidR="00DE44EF" w:rsidRPr="00004602" w:rsidRDefault="00374D97" w:rsidP="00DE44EF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11/15/18</w:t>
            </w:r>
          </w:p>
        </w:tc>
        <w:tc>
          <w:tcPr>
            <w:tcW w:w="144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</w:tr>
      <w:tr w:rsidR="00DE44EF" w:rsidRPr="00D77421" w:rsidTr="00DE44EF">
        <w:trPr>
          <w:cantSplit/>
        </w:trPr>
        <w:tc>
          <w:tcPr>
            <w:tcW w:w="1102" w:type="dxa"/>
          </w:tcPr>
          <w:p w:rsidR="00DE44EF" w:rsidRPr="00004602" w:rsidRDefault="00DE44EF" w:rsidP="00DE44EF">
            <w:pPr>
              <w:pStyle w:val="Cell"/>
              <w:rPr>
                <w:color w:val="7030A0"/>
                <w:sz w:val="16"/>
                <w:szCs w:val="16"/>
              </w:rPr>
            </w:pPr>
            <w:r w:rsidRPr="00004602">
              <w:rPr>
                <w:color w:val="7030A0"/>
                <w:sz w:val="16"/>
                <w:szCs w:val="16"/>
              </w:rPr>
              <w:t>BR_LR_08</w:t>
            </w:r>
          </w:p>
        </w:tc>
        <w:tc>
          <w:tcPr>
            <w:tcW w:w="2906" w:type="dxa"/>
          </w:tcPr>
          <w:p w:rsidR="00DE44EF" w:rsidRPr="00004602" w:rsidRDefault="00DE44EF" w:rsidP="0092604C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 xml:space="preserve">The system should handle any number </w:t>
            </w:r>
            <w:r w:rsidR="0092604C">
              <w:rPr>
                <w:color w:val="7030A0"/>
              </w:rPr>
              <w:t>calculated expenses, profit, etc.</w:t>
            </w:r>
            <w:r w:rsidRPr="00004602">
              <w:rPr>
                <w:color w:val="7030A0"/>
              </w:rPr>
              <w:t xml:space="preserve"> (existing and new) associated with </w:t>
            </w:r>
            <w:r w:rsidR="0092604C">
              <w:rPr>
                <w:color w:val="7030A0"/>
              </w:rPr>
              <w:t>accounting and finance</w:t>
            </w:r>
            <w:r w:rsidRPr="00004602">
              <w:rPr>
                <w:color w:val="7030A0"/>
              </w:rPr>
              <w:t>.</w:t>
            </w:r>
          </w:p>
        </w:tc>
        <w:tc>
          <w:tcPr>
            <w:tcW w:w="2767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>Business Process = “Changing Dues in the System”</w:t>
            </w:r>
          </w:p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  <w:tc>
          <w:tcPr>
            <w:tcW w:w="90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>2</w:t>
            </w:r>
          </w:p>
        </w:tc>
        <w:tc>
          <w:tcPr>
            <w:tcW w:w="1080" w:type="dxa"/>
          </w:tcPr>
          <w:p w:rsidR="00DE44EF" w:rsidRPr="00004602" w:rsidRDefault="00374D97" w:rsidP="00374D97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11/15/18</w:t>
            </w:r>
          </w:p>
        </w:tc>
        <w:tc>
          <w:tcPr>
            <w:tcW w:w="144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</w:tr>
      <w:tr w:rsidR="00DE44EF" w:rsidRPr="00D77421" w:rsidTr="00DE44EF">
        <w:trPr>
          <w:cantSplit/>
        </w:trPr>
        <w:tc>
          <w:tcPr>
            <w:tcW w:w="1102" w:type="dxa"/>
          </w:tcPr>
          <w:p w:rsidR="00DE44EF" w:rsidRPr="00004602" w:rsidRDefault="00DE44EF" w:rsidP="00DE44EF">
            <w:pPr>
              <w:pStyle w:val="Cell"/>
              <w:rPr>
                <w:color w:val="7030A0"/>
                <w:sz w:val="16"/>
                <w:szCs w:val="16"/>
              </w:rPr>
            </w:pPr>
            <w:r w:rsidRPr="00004602">
              <w:rPr>
                <w:color w:val="7030A0"/>
                <w:sz w:val="16"/>
                <w:szCs w:val="16"/>
              </w:rPr>
              <w:t>BR_LR_10</w:t>
            </w:r>
          </w:p>
        </w:tc>
        <w:tc>
          <w:tcPr>
            <w:tcW w:w="2906" w:type="dxa"/>
          </w:tcPr>
          <w:p w:rsidR="00DE44EF" w:rsidRPr="00004602" w:rsidRDefault="00DE44EF" w:rsidP="00374D97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 xml:space="preserve">The system should capture and maintain job class status </w:t>
            </w:r>
            <w:r w:rsidR="00374D97">
              <w:rPr>
                <w:color w:val="7030A0"/>
              </w:rPr>
              <w:t>(maintaining database record capacity)</w:t>
            </w:r>
          </w:p>
        </w:tc>
        <w:tc>
          <w:tcPr>
            <w:tcW w:w="2767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>Business Process = “</w:t>
            </w:r>
            <w:r w:rsidR="00374D97">
              <w:rPr>
                <w:color w:val="7030A0"/>
              </w:rPr>
              <w:t>maintenance</w:t>
            </w:r>
            <w:r w:rsidRPr="00004602">
              <w:rPr>
                <w:color w:val="7030A0"/>
              </w:rPr>
              <w:t>”</w:t>
            </w:r>
          </w:p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  <w:tc>
          <w:tcPr>
            <w:tcW w:w="90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>2</w:t>
            </w:r>
          </w:p>
        </w:tc>
        <w:tc>
          <w:tcPr>
            <w:tcW w:w="1080" w:type="dxa"/>
          </w:tcPr>
          <w:p w:rsidR="00DE44EF" w:rsidRPr="00004602" w:rsidRDefault="00374D97" w:rsidP="00374D97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11/15/18</w:t>
            </w:r>
          </w:p>
        </w:tc>
        <w:tc>
          <w:tcPr>
            <w:tcW w:w="144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</w:tr>
      <w:tr w:rsidR="00DE44EF" w:rsidRPr="00D77421" w:rsidTr="00DE44EF">
        <w:trPr>
          <w:cantSplit/>
        </w:trPr>
        <w:tc>
          <w:tcPr>
            <w:tcW w:w="1102" w:type="dxa"/>
          </w:tcPr>
          <w:p w:rsidR="00DE44EF" w:rsidRPr="00004602" w:rsidRDefault="00DE44EF" w:rsidP="00DE44EF">
            <w:pPr>
              <w:pStyle w:val="Cell"/>
              <w:rPr>
                <w:color w:val="7030A0"/>
                <w:sz w:val="16"/>
                <w:szCs w:val="16"/>
              </w:rPr>
            </w:pPr>
            <w:r w:rsidRPr="00004602">
              <w:rPr>
                <w:color w:val="7030A0"/>
                <w:sz w:val="16"/>
                <w:szCs w:val="16"/>
              </w:rPr>
              <w:t>BR_LR_16</w:t>
            </w:r>
          </w:p>
        </w:tc>
        <w:tc>
          <w:tcPr>
            <w:tcW w:w="2906" w:type="dxa"/>
          </w:tcPr>
          <w:p w:rsidR="00DE44EF" w:rsidRPr="00004602" w:rsidRDefault="00DE44EF" w:rsidP="00374D97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 xml:space="preserve">The system should assign the Supervisor Code based on the value in the Job Class table and additional criteria as specified </w:t>
            </w:r>
            <w:r w:rsidR="00374D97">
              <w:rPr>
                <w:color w:val="7030A0"/>
              </w:rPr>
              <w:t>in the requirement specification of accounting and finance</w:t>
            </w:r>
            <w:r w:rsidRPr="00004602">
              <w:rPr>
                <w:color w:val="7030A0"/>
              </w:rPr>
              <w:t>.</w:t>
            </w:r>
          </w:p>
        </w:tc>
        <w:tc>
          <w:tcPr>
            <w:tcW w:w="2767" w:type="dxa"/>
          </w:tcPr>
          <w:p w:rsidR="00DE44EF" w:rsidRPr="00004602" w:rsidRDefault="00374D97" w:rsidP="00374D97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November 15</w:t>
            </w:r>
            <w:r w:rsidR="00DE44EF" w:rsidRPr="00004602">
              <w:rPr>
                <w:color w:val="7030A0"/>
              </w:rPr>
              <w:t xml:space="preserve"> – New requirement. </w:t>
            </w:r>
          </w:p>
        </w:tc>
        <w:tc>
          <w:tcPr>
            <w:tcW w:w="90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>2</w:t>
            </w:r>
          </w:p>
        </w:tc>
        <w:tc>
          <w:tcPr>
            <w:tcW w:w="108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  <w:tc>
          <w:tcPr>
            <w:tcW w:w="144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</w:tr>
      <w:tr w:rsidR="00DE44EF" w:rsidRPr="00D77421" w:rsidTr="00DE44EF">
        <w:trPr>
          <w:cantSplit/>
        </w:trPr>
        <w:tc>
          <w:tcPr>
            <w:tcW w:w="1102" w:type="dxa"/>
          </w:tcPr>
          <w:p w:rsidR="00DE44EF" w:rsidRPr="00004602" w:rsidRDefault="00DE44EF" w:rsidP="00DE44EF">
            <w:pPr>
              <w:pStyle w:val="Cell"/>
              <w:rPr>
                <w:color w:val="7030A0"/>
                <w:sz w:val="16"/>
                <w:szCs w:val="16"/>
              </w:rPr>
            </w:pPr>
            <w:r w:rsidRPr="00004602">
              <w:rPr>
                <w:color w:val="7030A0"/>
                <w:sz w:val="16"/>
                <w:szCs w:val="16"/>
              </w:rPr>
              <w:t>BR_LR_18</w:t>
            </w:r>
          </w:p>
        </w:tc>
        <w:tc>
          <w:tcPr>
            <w:tcW w:w="2906" w:type="dxa"/>
          </w:tcPr>
          <w:p w:rsidR="00DE44EF" w:rsidRPr="00004602" w:rsidRDefault="00DE44EF" w:rsidP="00374D97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 xml:space="preserve">The system should provide the Labor Relations </w:t>
            </w:r>
            <w:r w:rsidR="00374D97">
              <w:rPr>
                <w:color w:val="7030A0"/>
              </w:rPr>
              <w:t xml:space="preserve">department </w:t>
            </w:r>
            <w:r w:rsidRPr="00004602">
              <w:rPr>
                <w:color w:val="7030A0"/>
              </w:rPr>
              <w:t>with the ability to override the system-</w:t>
            </w:r>
            <w:r w:rsidR="00374D97" w:rsidRPr="00004602">
              <w:rPr>
                <w:color w:val="7030A0"/>
              </w:rPr>
              <w:t xml:space="preserve">derived </w:t>
            </w:r>
            <w:r w:rsidR="00374D97">
              <w:rPr>
                <w:color w:val="7030A0"/>
              </w:rPr>
              <w:t>Unit</w:t>
            </w:r>
            <w:r w:rsidRPr="00004602">
              <w:rPr>
                <w:color w:val="7030A0"/>
              </w:rPr>
              <w:t xml:space="preserve"> code for to-be-determined employee types, including hourly appointments.</w:t>
            </w:r>
          </w:p>
        </w:tc>
        <w:tc>
          <w:tcPr>
            <w:tcW w:w="2767" w:type="dxa"/>
          </w:tcPr>
          <w:p w:rsidR="00DE44EF" w:rsidRPr="00004602" w:rsidRDefault="00374D97" w:rsidP="00DE44EF">
            <w:pPr>
              <w:pStyle w:val="Cell"/>
              <w:rPr>
                <w:color w:val="7030A0"/>
              </w:rPr>
            </w:pPr>
            <w:r>
              <w:rPr>
                <w:color w:val="7030A0"/>
              </w:rPr>
              <w:t>November 15</w:t>
            </w:r>
            <w:r w:rsidR="00DE44EF" w:rsidRPr="00004602">
              <w:rPr>
                <w:color w:val="7030A0"/>
              </w:rPr>
              <w:t xml:space="preserve"> – New requirement. It is one of three new requirements.</w:t>
            </w:r>
          </w:p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  <w:tc>
          <w:tcPr>
            <w:tcW w:w="90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  <w:r w:rsidRPr="00004602">
              <w:rPr>
                <w:color w:val="7030A0"/>
              </w:rPr>
              <w:t>3</w:t>
            </w:r>
          </w:p>
        </w:tc>
        <w:tc>
          <w:tcPr>
            <w:tcW w:w="108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  <w:tc>
          <w:tcPr>
            <w:tcW w:w="1440" w:type="dxa"/>
          </w:tcPr>
          <w:p w:rsidR="00DE44EF" w:rsidRPr="00004602" w:rsidRDefault="00DE44EF" w:rsidP="00DE44EF">
            <w:pPr>
              <w:pStyle w:val="Cell"/>
              <w:rPr>
                <w:color w:val="7030A0"/>
              </w:rPr>
            </w:pPr>
          </w:p>
        </w:tc>
      </w:tr>
    </w:tbl>
    <w:p w:rsidR="00DE44EF" w:rsidRPr="00DE44EF" w:rsidRDefault="00DE44EF">
      <w:pPr>
        <w:rPr>
          <w:rFonts w:ascii="Arial" w:hAnsi="Arial" w:cs="Arial"/>
        </w:rPr>
      </w:pPr>
    </w:p>
    <w:sectPr w:rsidR="00DE44EF" w:rsidRPr="00DE44EF" w:rsidSect="00DE44EF">
      <w:pgSz w:w="12240" w:h="15840"/>
      <w:pgMar w:top="1077" w:right="1077" w:bottom="107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EF"/>
    <w:rsid w:val="00220B91"/>
    <w:rsid w:val="00374D97"/>
    <w:rsid w:val="0092604C"/>
    <w:rsid w:val="00DE44EF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28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DE44EF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44EF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0"/>
    </w:rPr>
  </w:style>
  <w:style w:type="paragraph" w:styleId="Heading3">
    <w:name w:val="heading 3"/>
    <w:basedOn w:val="Normal"/>
    <w:next w:val="Normal"/>
    <w:link w:val="Heading3Char"/>
    <w:qFormat/>
    <w:rsid w:val="00DE44EF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E44EF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DE44EF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E44EF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E44EF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DE44EF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iCs/>
      <w:sz w:val="20"/>
    </w:rPr>
  </w:style>
  <w:style w:type="paragraph" w:styleId="Heading9">
    <w:name w:val="heading 9"/>
    <w:basedOn w:val="Normal"/>
    <w:next w:val="Normal"/>
    <w:link w:val="Heading9Char"/>
    <w:qFormat/>
    <w:rsid w:val="00DE44EF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44EF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44EF"/>
    <w:rPr>
      <w:rFonts w:ascii="Arial" w:eastAsia="Times New Roman" w:hAnsi="Arial" w:cs="Arial"/>
      <w:b/>
      <w:bCs/>
      <w:i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DE44EF"/>
    <w:rPr>
      <w:rFonts w:ascii="Arial" w:eastAsia="Times New Roman" w:hAnsi="Arial" w:cs="Arial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DE44EF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E44E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E44EF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E44EF"/>
    <w:rPr>
      <w:rFonts w:ascii="Arial" w:eastAsia="Times New Roman" w:hAnsi="Arial" w:cs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DE44EF"/>
    <w:rPr>
      <w:rFonts w:ascii="Arial" w:eastAsia="Times New Roman" w:hAnsi="Arial" w:cs="Times New Roman"/>
      <w:i/>
      <w:iCs/>
      <w:sz w:val="20"/>
    </w:rPr>
  </w:style>
  <w:style w:type="character" w:customStyle="1" w:styleId="Heading9Char">
    <w:name w:val="Heading 9 Char"/>
    <w:basedOn w:val="DefaultParagraphFont"/>
    <w:link w:val="Heading9"/>
    <w:rsid w:val="00DE44EF"/>
    <w:rPr>
      <w:rFonts w:ascii="Arial" w:eastAsia="Times New Roman" w:hAnsi="Arial" w:cs="Arial"/>
      <w:sz w:val="22"/>
      <w:szCs w:val="22"/>
    </w:rPr>
  </w:style>
  <w:style w:type="paragraph" w:customStyle="1" w:styleId="Cell">
    <w:name w:val="Cell"/>
    <w:basedOn w:val="BodyText"/>
    <w:rsid w:val="00DE44EF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customStyle="1" w:styleId="CellHead">
    <w:name w:val="CellHead"/>
    <w:basedOn w:val="Cell"/>
    <w:rsid w:val="00DE44EF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DE44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44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DE44EF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44EF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0"/>
    </w:rPr>
  </w:style>
  <w:style w:type="paragraph" w:styleId="Heading3">
    <w:name w:val="heading 3"/>
    <w:basedOn w:val="Normal"/>
    <w:next w:val="Normal"/>
    <w:link w:val="Heading3Char"/>
    <w:qFormat/>
    <w:rsid w:val="00DE44EF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E44EF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DE44EF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E44EF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E44EF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DE44EF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iCs/>
      <w:sz w:val="20"/>
    </w:rPr>
  </w:style>
  <w:style w:type="paragraph" w:styleId="Heading9">
    <w:name w:val="heading 9"/>
    <w:basedOn w:val="Normal"/>
    <w:next w:val="Normal"/>
    <w:link w:val="Heading9Char"/>
    <w:qFormat/>
    <w:rsid w:val="00DE44EF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44EF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44EF"/>
    <w:rPr>
      <w:rFonts w:ascii="Arial" w:eastAsia="Times New Roman" w:hAnsi="Arial" w:cs="Arial"/>
      <w:b/>
      <w:bCs/>
      <w:i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DE44EF"/>
    <w:rPr>
      <w:rFonts w:ascii="Arial" w:eastAsia="Times New Roman" w:hAnsi="Arial" w:cs="Arial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DE44EF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E44E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E44EF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E44EF"/>
    <w:rPr>
      <w:rFonts w:ascii="Arial" w:eastAsia="Times New Roman" w:hAnsi="Arial" w:cs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DE44EF"/>
    <w:rPr>
      <w:rFonts w:ascii="Arial" w:eastAsia="Times New Roman" w:hAnsi="Arial" w:cs="Times New Roman"/>
      <w:i/>
      <w:iCs/>
      <w:sz w:val="20"/>
    </w:rPr>
  </w:style>
  <w:style w:type="character" w:customStyle="1" w:styleId="Heading9Char">
    <w:name w:val="Heading 9 Char"/>
    <w:basedOn w:val="DefaultParagraphFont"/>
    <w:link w:val="Heading9"/>
    <w:rsid w:val="00DE44EF"/>
    <w:rPr>
      <w:rFonts w:ascii="Arial" w:eastAsia="Times New Roman" w:hAnsi="Arial" w:cs="Arial"/>
      <w:sz w:val="22"/>
      <w:szCs w:val="22"/>
    </w:rPr>
  </w:style>
  <w:style w:type="paragraph" w:customStyle="1" w:styleId="Cell">
    <w:name w:val="Cell"/>
    <w:basedOn w:val="BodyText"/>
    <w:rsid w:val="00DE44EF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customStyle="1" w:styleId="CellHead">
    <w:name w:val="CellHead"/>
    <w:basedOn w:val="Cell"/>
    <w:rsid w:val="00DE44EF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DE44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1157</Characters>
  <Application>Microsoft Macintosh Word</Application>
  <DocSecurity>0</DocSecurity>
  <Lines>9</Lines>
  <Paragraphs>2</Paragraphs>
  <ScaleCrop>false</ScaleCrop>
  <Company>batstateu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arasof</dc:creator>
  <cp:keywords/>
  <dc:description/>
  <cp:lastModifiedBy>ict arasof</cp:lastModifiedBy>
  <cp:revision>1</cp:revision>
  <dcterms:created xsi:type="dcterms:W3CDTF">2018-11-15T06:05:00Z</dcterms:created>
  <dcterms:modified xsi:type="dcterms:W3CDTF">2018-11-15T06:56:00Z</dcterms:modified>
</cp:coreProperties>
</file>