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240"/>
      </w:pPr>
      <w:r>
        <w:rPr>
          <w:b/>
          <w:color w:val="004D40"/>
        </w:rPr>
        <w:t>AquaRAG 多知識庫系統建置與通用文件解析技術說明書</w:t>
      </w:r>
    </w:p>
    <w:p>
      <w:pPr>
        <w:spacing w:before="80" w:after="80" w:line="276" w:lineRule="auto"/>
      </w:pPr>
      <w:r>
        <w:t>本手冊詳細說明 AquaRAG 多知識庫 RAG 系統的架構設計、通用 Word 文件的語意切分（Chunking）演算法、向量資料庫的建置流程，以及如何透過本機 Qwen-2.5 7B 模型進行脈絡強化生成（Retrieval-Augmented Generation, RAG）。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一、 系統架構與設計理念</w:t>
      </w:r>
    </w:p>
    <w:p>
      <w:pPr>
        <w:spacing w:before="80" w:after="80" w:line="276" w:lineRule="auto"/>
      </w:pPr>
      <w:r>
        <w:t>為了不影響原有的國家考試「魚類生理學歷屆試題專家系統」，本系統採用了</w:t>
      </w:r>
      <w:r>
        <w:rPr>
          <w:b/>
        </w:rPr>
        <w:t>獨立並行</w:t>
      </w:r>
      <w:r>
        <w:t>的模組化設計：</w:t>
      </w:r>
    </w:p>
    <w:p>
      <w:pPr>
        <w:pStyle w:val="ListNumber"/>
        <w:spacing w:before="40" w:after="40"/>
      </w:pPr>
      <w:r>
        <w:rPr>
          <w:b/>
        </w:rPr>
        <w:t>埠口隔離 (Port Isolation)</w:t>
      </w:r>
      <w:r>
        <w:t xml:space="preserve">：服務運作於連接埠 </w:t>
      </w:r>
      <w:r>
        <w:rPr>
          <w:rFonts w:ascii="Courier New" w:hAnsi="Courier New"/>
          <w:color w:val="A31515"/>
          <w:sz w:val="20"/>
        </w:rPr>
        <w:t>8001</w:t>
      </w:r>
      <w:r>
        <w:t xml:space="preserve">，與原系統的 </w:t>
      </w:r>
      <w:r>
        <w:rPr>
          <w:rFonts w:ascii="Courier New" w:hAnsi="Courier New"/>
          <w:color w:val="A31515"/>
          <w:sz w:val="20"/>
        </w:rPr>
        <w:t>8000</w:t>
      </w:r>
      <w:r>
        <w:t xml:space="preserve"> 埠口完全獨立，可同時在背景執行。</w:t>
      </w:r>
    </w:p>
    <w:p>
      <w:pPr>
        <w:pStyle w:val="ListNumber"/>
        <w:spacing w:before="40" w:after="40"/>
      </w:pPr>
      <w:r>
        <w:rPr>
          <w:b/>
        </w:rPr>
        <w:t>獨立資料庫</w:t>
      </w:r>
      <w:r>
        <w:t xml:space="preserve">：新建 </w:t>
      </w:r>
      <w:r>
        <w:rPr>
          <w:rFonts w:ascii="Courier New" w:hAnsi="Courier New"/>
          <w:color w:val="A31515"/>
          <w:sz w:val="20"/>
        </w:rPr>
        <w:t>multi_knowledge.db</w:t>
      </w:r>
      <w:r>
        <w:t xml:space="preserve"> SQLite 檔案，專門儲存技術手冊段落與向量特徵。</w:t>
      </w:r>
    </w:p>
    <w:p>
      <w:pPr>
        <w:pStyle w:val="ListNumber"/>
        <w:spacing w:before="40" w:after="40"/>
      </w:pPr>
      <w:r>
        <w:rPr>
          <w:b/>
        </w:rPr>
        <w:t>自訂知識庫目錄</w:t>
      </w:r>
      <w:r>
        <w:t xml:space="preserve">：新設 </w:t>
      </w:r>
      <w:r>
        <w:rPr>
          <w:rFonts w:ascii="Courier New" w:hAnsi="Courier New"/>
          <w:color w:val="A31515"/>
          <w:sz w:val="20"/>
        </w:rPr>
        <w:t>webpage_docs/</w:t>
      </w:r>
      <w:r>
        <w:t xml:space="preserve"> 作為通用文檔的存放夾，支援任意數量的 </w:t>
      </w:r>
      <w:r>
        <w:rPr>
          <w:rFonts w:ascii="Courier New" w:hAnsi="Courier New"/>
          <w:color w:val="A31515"/>
          <w:sz w:val="20"/>
        </w:rPr>
        <w:t>.docx</w:t>
      </w:r>
      <w:r>
        <w:t xml:space="preserve"> 格式網頁內容或技術說明文件。</w:t>
      </w:r>
    </w:p>
    <w:p>
      <w:pPr>
        <w:pStyle w:val="Heading2"/>
        <w:spacing w:before="200" w:after="80"/>
      </w:pPr>
      <w:r>
        <w:rPr>
          <w:b/>
          <w:color w:val="00897B"/>
        </w:rPr>
        <w:t>系統資料流與運作拓撲：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[ webpage_docs/*.docx ] 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     │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     ▼ (multi_parser.py)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[ parsed_multi_docs.json ]  (語意段落切分，每段約 600-800 字)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     │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     ▼ (multi_embedder.py &amp; Ollama nomic-embed-text)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[ multi_knowledge.db ] (SQLite 欄位包含 ID, 檔名, 標題, 內文, 向量 BLOB)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     │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     ▼ (multi_search_engine.py 在系統啟動時一次性載入記憶體)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[ Memory-Cached Vector Matrix ] (高維度矩陣點積快速比對)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     │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     ▼ (app_multi.py 接收使用者提問)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[ Retrieve Top-4 Chunks ] --&gt; [ Context Assembly &amp; System Prompt ]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     │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     ▼ (Ollama qwen2.5 7B 推理)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[ SSE Streaming Response ] --&gt; [ Frontend Web UI (Port 8001) ]</w:t>
            </w:r>
          </w:p>
        </w:tc>
      </w:tr>
    </w:tbl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二、 通用 Word 文件解析與語意切分 (Chunking)</w:t>
      </w:r>
    </w:p>
    <w:p>
      <w:pPr>
        <w:spacing w:before="80" w:after="80" w:line="276" w:lineRule="auto"/>
      </w:pPr>
      <w:r>
        <w:t xml:space="preserve">原系統的 </w:t>
      </w:r>
      <w:r>
        <w:rPr>
          <w:rFonts w:ascii="Courier New" w:hAnsi="Courier New"/>
          <w:color w:val="A31515"/>
          <w:sz w:val="20"/>
        </w:rPr>
        <w:t>parser.py</w:t>
      </w:r>
      <w:r>
        <w:t xml:space="preserve"> 是針對國家考試試題的固定格式（如「第 X 套試題：」、「第 Y 題：」）進行硬編碼解析。而在通用多知識庫中，輸入文件（如網頁內容導出的 DOCX 檔）的格式極為多樣。因此，我們實作了全新的通用文件切分器 </w:t>
      </w:r>
      <w:r>
        <w:rPr>
          <w:b/>
          <w:color w:val="0066CC"/>
        </w:rPr>
        <w:t>multi_parser.py</w:t>
      </w:r>
      <w:r>
        <w:t>：</w:t>
      </w:r>
    </w:p>
    <w:p>
      <w:pPr>
        <w:pStyle w:val="Heading2"/>
        <w:spacing w:before="200" w:after="80"/>
      </w:pPr>
      <w:r>
        <w:rPr>
          <w:b/>
          <w:color w:val="00897B"/>
        </w:rPr>
        <w:t>2.1 標題與章節偵測</w:t>
      </w:r>
    </w:p>
    <w:p>
      <w:pPr>
        <w:spacing w:before="80" w:after="80" w:line="276" w:lineRule="auto"/>
      </w:pPr>
      <w:r>
        <w:t>通用切分器透過以下兩種機制自動偵測文檔的章節標題：</w:t>
      </w:r>
    </w:p>
    <w:p>
      <w:pPr>
        <w:pStyle w:val="ListNumber"/>
        <w:spacing w:before="40" w:after="40"/>
      </w:pPr>
      <w:r>
        <w:rPr>
          <w:b/>
        </w:rPr>
        <w:t>Word 內建樣式</w:t>
      </w:r>
      <w:r>
        <w:t xml:space="preserve">：檢測段落的 style 名稱是否包含 </w:t>
      </w:r>
      <w:r>
        <w:rPr>
          <w:rFonts w:ascii="Courier New" w:hAnsi="Courier New"/>
          <w:color w:val="A31515"/>
          <w:sz w:val="20"/>
        </w:rPr>
        <w:t>heading</w:t>
      </w:r>
      <w:r>
        <w:t xml:space="preserve"> 或 </w:t>
      </w:r>
      <w:r>
        <w:rPr>
          <w:rFonts w:ascii="Courier New" w:hAnsi="Courier New"/>
          <w:color w:val="A31515"/>
          <w:sz w:val="20"/>
        </w:rPr>
        <w:t>title</w:t>
      </w:r>
      <w:r>
        <w:t>。</w:t>
      </w:r>
    </w:p>
    <w:p>
      <w:pPr>
        <w:pStyle w:val="ListNumber"/>
        <w:spacing w:before="40" w:after="40"/>
      </w:pPr>
      <w:r>
        <w:rPr>
          <w:b/>
        </w:rPr>
        <w:t>正規表達式與規則比對</w:t>
      </w:r>
      <w:r>
        <w:t>：若段落長度小於 60 字且結尾沒有標點符號，同時開頭匹配特定格式（例如：</w:t>
      </w:r>
      <w:r>
        <w:rPr>
          <w:rFonts w:ascii="Courier New" w:hAnsi="Courier New"/>
          <w:color w:val="A31515"/>
          <w:sz w:val="20"/>
        </w:rPr>
        <w:t>第X章</w:t>
      </w:r>
      <w:r>
        <w:t>、</w:t>
      </w:r>
      <w:r>
        <w:rPr>
          <w:rFonts w:ascii="Courier New" w:hAnsi="Courier New"/>
          <w:color w:val="A31515"/>
          <w:sz w:val="20"/>
        </w:rPr>
        <w:t>第Y節</w:t>
      </w:r>
      <w:r>
        <w:t>、</w:t>
      </w:r>
      <w:r>
        <w:rPr>
          <w:rFonts w:ascii="Courier New" w:hAnsi="Courier New"/>
          <w:color w:val="A31515"/>
          <w:sz w:val="20"/>
        </w:rPr>
        <w:t xml:space="preserve">1. </w:t>
      </w:r>
      <w:r>
        <w:t>、</w:t>
      </w:r>
      <w:r>
        <w:rPr>
          <w:rFonts w:ascii="Courier New" w:hAnsi="Courier New"/>
          <w:color w:val="A31515"/>
          <w:sz w:val="20"/>
        </w:rPr>
        <w:t>一、</w:t>
      </w:r>
      <w:r>
        <w:t>），則自動將其識別為新章節的起點。</w:t>
      </w:r>
    </w:p>
    <w:p>
      <w:pPr>
        <w:pStyle w:val="Heading2"/>
        <w:spacing w:before="200" w:after="80"/>
      </w:pPr>
      <w:r>
        <w:rPr>
          <w:b/>
          <w:color w:val="00897B"/>
        </w:rPr>
        <w:t>2.2 帶有重疊區間的滑動窗口 (Sliding Window with Overlap)</w:t>
      </w:r>
    </w:p>
    <w:p>
      <w:pPr>
        <w:spacing w:before="80" w:after="80" w:line="276" w:lineRule="auto"/>
      </w:pPr>
      <w:r>
        <w:t>當長篇手冊的內容過長時，直接截斷會導致章節前後脈絡的破裂（例如：公式的前提條件在前一段，推導結果在後一段）。</w:t>
      </w:r>
    </w:p>
    <w:p>
      <w:pPr>
        <w:spacing w:before="80" w:after="80" w:line="276" w:lineRule="auto"/>
      </w:pPr>
      <w:r>
        <w:t>為了維持上下文完整性，切分演算法採用了</w:t>
      </w:r>
      <w:r>
        <w:rPr>
          <w:b/>
        </w:rPr>
        <w:t>滑動窗口與重疊（Overlap）機制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目標區塊大小 (Target Chunk Size)</w:t>
      </w:r>
      <w:r>
        <w:t>：設定為約 700 字。</w:t>
      </w:r>
    </w:p>
    <w:p>
      <w:pPr>
        <w:pStyle w:val="ListBullet"/>
        <w:spacing w:before="40" w:after="40"/>
      </w:pPr>
      <w:r>
        <w:rPr>
          <w:b/>
        </w:rPr>
        <w:t>重疊大小 (Overlap Size)</w:t>
      </w:r>
      <w:r>
        <w:t>：設定為約 150 字。</w:t>
      </w:r>
    </w:p>
    <w:p>
      <w:pPr>
        <w:spacing w:before="80" w:after="80" w:line="276" w:lineRule="auto"/>
      </w:pPr>
      <w:r>
        <w:t>當前累計的段落文字超過 700 字時，切分器會切出一個 Chunk，並將該 Chunk 末尾的約 150 字（或最後 1~2 個整句/段落）保留，作為下一個 Chunk 的起點，從而完美保留了語意的過渡與連貫。</w:t>
      </w:r>
    </w:p>
    <w:p>
      <w:pPr>
        <w:pStyle w:val="Heading2"/>
        <w:spacing w:before="200" w:after="80"/>
      </w:pPr>
      <w:r>
        <w:rPr>
          <w:b/>
          <w:color w:val="00897B"/>
        </w:rPr>
        <w:t>2.3 表格轉換</w:t>
      </w:r>
    </w:p>
    <w:p>
      <w:pPr>
        <w:spacing w:before="80" w:after="80" w:line="276" w:lineRule="auto"/>
      </w:pPr>
      <w:r>
        <w:t xml:space="preserve">手冊中的數據對照表格透過 python-docx 讀取後，會自動在 Parser 中被轉譯為標準的 </w:t>
      </w:r>
      <w:r>
        <w:rPr>
          <w:b/>
        </w:rPr>
        <w:t>Markdown 表格語法</w:t>
      </w:r>
      <w:r>
        <w:t>，並以單一塊（Table Block）形式被併入對應的 Chunk 內，確保大型對照表不會被強行攔腰切斷，同時模型也能正確理解行列關係。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三、 SQLite 向量儲存 Schema</w:t>
      </w:r>
    </w:p>
    <w:p>
      <w:pPr>
        <w:spacing w:before="80" w:after="80" w:line="276" w:lineRule="auto"/>
      </w:pPr>
      <w:r>
        <w:t xml:space="preserve">資料庫 </w:t>
      </w:r>
      <w:r>
        <w:rPr>
          <w:rFonts w:ascii="Courier New" w:hAnsi="Courier New"/>
          <w:color w:val="A31515"/>
          <w:sz w:val="20"/>
        </w:rPr>
        <w:t>multi_knowledge.db</w:t>
      </w:r>
      <w:r>
        <w:t xml:space="preserve"> 的 </w:t>
      </w:r>
      <w:r>
        <w:rPr>
          <w:rFonts w:ascii="Courier New" w:hAnsi="Courier New"/>
          <w:color w:val="A31515"/>
          <w:sz w:val="20"/>
        </w:rPr>
        <w:t>documents</w:t>
      </w:r>
      <w:r>
        <w:t xml:space="preserve"> 資料表 Schema 設計如下：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CREATE TABLE IF NOT EXISTS documents (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id INTEGER PRIMARY KEY,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source_file TEXT,       -- 來源 Word 檔名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chunk_title TEXT,       -- 當前偵測到的章節/段落標題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content TEXT,           -- 該區塊的 Markdown 內文與表格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embedding BLOB          -- nomic-embed-text 產生的 768 維 float32 向量二進位大物件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)</w:t>
            </w:r>
          </w:p>
        </w:tc>
      </w:tr>
    </w:tbl>
    <w:p>
      <w:pPr>
        <w:spacing w:before="80" w:after="80" w:line="276" w:lineRule="auto"/>
      </w:pPr>
      <w:r>
        <w:t xml:space="preserve">在 </w:t>
      </w:r>
      <w:r>
        <w:rPr>
          <w:b/>
          <w:color w:val="0066CC"/>
        </w:rPr>
        <w:t>multi_embedder.py</w:t>
      </w:r>
      <w:r>
        <w:t xml:space="preserve"> 中，我們將資料拼接為特徵文字：</w:t>
      </w:r>
    </w:p>
    <w:p>
      <w:pPr>
        <w:spacing w:before="80" w:after="80" w:line="276" w:lineRule="auto"/>
      </w:pPr>
      <w:r>
        <w:rPr>
          <w:rFonts w:ascii="Courier New" w:hAnsi="Courier New"/>
          <w:color w:val="A31515"/>
          <w:sz w:val="20"/>
        </w:rPr>
        <w:t>"來源檔案：{source_file}\n章節標題：{chunk_title}\n段落內容：{content}"</w:t>
      </w:r>
    </w:p>
    <w:p>
      <w:pPr>
        <w:spacing w:before="80" w:after="80" w:line="276" w:lineRule="auto"/>
      </w:pPr>
      <w:r>
        <w:t xml:space="preserve">透過 Ollama API 計算出 768 維的 </w:t>
      </w:r>
      <w:r>
        <w:rPr>
          <w:rFonts w:ascii="Courier New" w:hAnsi="Courier New"/>
          <w:color w:val="A31515"/>
          <w:sz w:val="20"/>
        </w:rPr>
        <w:t>float32</w:t>
      </w:r>
      <w:r>
        <w:t xml:space="preserve"> 陣列，隨後利用 NumPy 序列化為二進位 </w:t>
      </w:r>
      <w:r>
        <w:rPr>
          <w:rFonts w:ascii="Courier New" w:hAnsi="Courier New"/>
          <w:color w:val="A31515"/>
          <w:sz w:val="20"/>
        </w:rPr>
        <w:t>BLOB</w:t>
      </w:r>
      <w:r>
        <w:t xml:space="preserve"> 寫入資料庫：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import numpy as np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# 轉換為 float32 陣列 (4 bytes per float, 共 3072 bytes)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emb_arr = np.array(emb, dtype=np.float32)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emb_blob = emb_arr.tobytes()</w:t>
            </w:r>
          </w:p>
        </w:tc>
      </w:tr>
    </w:tbl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四、 記憶體快取與語意檢索技術</w:t>
      </w:r>
    </w:p>
    <w:p>
      <w:pPr>
        <w:spacing w:before="80" w:after="80" w:line="276" w:lineRule="auto"/>
      </w:pPr>
      <w:r>
        <w:t>為了提供極致的查詢反應速度，</w:t>
      </w:r>
      <w:r>
        <w:rPr>
          <w:b/>
          <w:color w:val="0066CC"/>
        </w:rPr>
        <w:t>multi_search_engine.py</w:t>
      </w:r>
      <w:r>
        <w:t xml:space="preserve"> 採用了</w:t>
      </w:r>
      <w:r>
        <w:rPr>
          <w:b/>
        </w:rPr>
        <w:t>記憶體快取向量矩陣</w:t>
      </w:r>
      <w:r>
        <w:t>的優化技術：</w:t>
      </w:r>
    </w:p>
    <w:p>
      <w:pPr>
        <w:pStyle w:val="Heading2"/>
        <w:spacing w:before="200" w:after="80"/>
      </w:pPr>
      <w:r>
        <w:rPr>
          <w:b/>
          <w:color w:val="00897B"/>
        </w:rPr>
        <w:t>4.1 系統啟動載入</w:t>
      </w:r>
    </w:p>
    <w:p>
      <w:pPr>
        <w:spacing w:before="80" w:after="80" w:line="276" w:lineRule="auto"/>
      </w:pPr>
      <w:r>
        <w:t xml:space="preserve">在服務初始化時，Search Engine 會執行 </w:t>
      </w:r>
      <w:r>
        <w:rPr>
          <w:rFonts w:ascii="Courier New" w:hAnsi="Courier New"/>
          <w:color w:val="A31515"/>
          <w:sz w:val="20"/>
        </w:rPr>
        <w:t>SELECT</w:t>
      </w:r>
      <w:r>
        <w:t xml:space="preserve"> 將所有段落的 </w:t>
      </w:r>
      <w:r>
        <w:rPr>
          <w:rFonts w:ascii="Courier New" w:hAnsi="Courier New"/>
          <w:color w:val="A31515"/>
          <w:sz w:val="20"/>
        </w:rPr>
        <w:t>embedding</w:t>
      </w:r>
      <w:r>
        <w:t xml:space="preserve"> BLOB 一次性讀入記憶體，並透過 NumPy 的 </w:t>
      </w:r>
      <w:r>
        <w:rPr>
          <w:rFonts w:ascii="Courier New" w:hAnsi="Courier New"/>
          <w:color w:val="A31515"/>
          <w:sz w:val="20"/>
        </w:rPr>
        <w:t>np.frombuffer()</w:t>
      </w:r>
      <w:r>
        <w:t xml:space="preserve"> 還原，再使用 </w:t>
      </w:r>
      <w:r>
        <w:rPr>
          <w:rFonts w:ascii="Courier New" w:hAnsi="Courier New"/>
          <w:color w:val="A31515"/>
          <w:sz w:val="20"/>
        </w:rPr>
        <w:t>np.vstack()</w:t>
      </w:r>
      <w:r>
        <w:t xml:space="preserve"> 堆疊為 $N \times 768$ 的二維浮點數矩陣。如此一來，在使用者查詢時，無需進行耗時的資料庫 I/O，而能直接在記憶體中進行高速運算。</w:t>
      </w:r>
    </w:p>
    <w:p>
      <w:pPr>
        <w:pStyle w:val="Heading2"/>
        <w:spacing w:before="200" w:after="80"/>
      </w:pPr>
      <w:r>
        <w:rPr>
          <w:b/>
          <w:color w:val="00897B"/>
        </w:rPr>
        <w:t>4.2 餘弦相似度矩陣運算</w:t>
      </w:r>
    </w:p>
    <w:p>
      <w:pPr>
        <w:spacing w:before="80" w:after="80" w:line="276" w:lineRule="auto"/>
      </w:pPr>
      <w:r>
        <w:t>當使用者輸入查詢句時，系統透過 Ollama 取得查詢向量 $q$，並利用 NumPy 的向量化乘法計算餘弦相似度（Cosine Similarity）：</w:t>
      </w:r>
    </w:p>
    <w:p>
      <w:pPr>
        <w:spacing w:before="160" w:after="160"/>
        <w:jc w:val="center"/>
      </w:pPr>
      <w:r>
        <w:rPr>
          <w:rFonts w:ascii="Times New Roman" w:hAnsi="Times New Roman"/>
          <w:i/>
          <w:sz w:val="22"/>
        </w:rPr>
        <w:t>\text{Similarity}(A, B) = \frac{A \cdot B}{\|A\| \|B\|}</w:t>
      </w:r>
    </w:p>
    <w:p>
      <w:pPr>
        <w:spacing w:before="80" w:after="80" w:line="276" w:lineRule="auto"/>
      </w:pPr>
      <w:r>
        <w:t>NumPy 程式碼實作：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dot_product = np.dot(self.embeddings, query_emb)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norm_a = np.linalg.norm(self.embeddings, axis=1)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norm_b = np.linalg.norm(query_emb)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similarities = dot_product / (norm_a * norm_b + 1e-8)</w:t>
            </w:r>
          </w:p>
        </w:tc>
      </w:tr>
    </w:tbl>
    <w:p>
      <w:pPr>
        <w:spacing w:before="80" w:after="80" w:line="276" w:lineRule="auto"/>
      </w:pPr>
      <w:r>
        <w:t>系統會根據相似度分數由高到低排序，取出 Top-4 最相關的文獻區塊。</w:t>
      </w:r>
    </w:p>
    <w:p>
      <w:pPr>
        <w:pStyle w:val="Heading2"/>
        <w:spacing w:before="200" w:after="80"/>
      </w:pPr>
      <w:r>
        <w:rPr>
          <w:b/>
          <w:color w:val="00897B"/>
        </w:rPr>
        <w:t>4.3 離線備援（降級關鍵字搜尋）</w:t>
      </w:r>
    </w:p>
    <w:p>
      <w:pPr>
        <w:spacing w:before="80" w:after="80" w:line="276" w:lineRule="auto"/>
      </w:pPr>
      <w:r>
        <w:t xml:space="preserve">如果本地的 Ollama 服務離線或未下載向量模型，Search Engine 會自動降級為基於空格分詞的關鍵字權重計分法，利用 </w:t>
      </w:r>
      <w:r>
        <w:rPr>
          <w:rFonts w:ascii="Courier New" w:hAnsi="Courier New"/>
          <w:color w:val="A31515"/>
          <w:sz w:val="20"/>
        </w:rPr>
        <w:t>source_file</w:t>
      </w:r>
      <w:r>
        <w:t xml:space="preserve"> (權重 3.0)、</w:t>
      </w:r>
      <w:r>
        <w:rPr>
          <w:rFonts w:ascii="Courier New" w:hAnsi="Courier New"/>
          <w:color w:val="A31515"/>
          <w:sz w:val="20"/>
        </w:rPr>
        <w:t>chunk_title</w:t>
      </w:r>
      <w:r>
        <w:t xml:space="preserve"> (權重 5.0) 與 </w:t>
      </w:r>
      <w:r>
        <w:rPr>
          <w:rFonts w:ascii="Courier New" w:hAnsi="Courier New"/>
          <w:color w:val="A31515"/>
          <w:sz w:val="20"/>
        </w:rPr>
        <w:t>content</w:t>
      </w:r>
      <w:r>
        <w:t xml:space="preserve"> (權重 1.0) 進行模糊比對，確保系統在任何情況下都能提供一定的檢索能力。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五、 RAG 脈絡組裝與 SSE 串流問答</w:t>
      </w:r>
    </w:p>
    <w:p>
      <w:pPr>
        <w:spacing w:before="80" w:after="80" w:line="276" w:lineRule="auto"/>
      </w:pPr>
      <w:r>
        <w:t xml:space="preserve">後端 API 伺服器 </w:t>
      </w:r>
      <w:r>
        <w:rPr>
          <w:b/>
          <w:color w:val="0066CC"/>
        </w:rPr>
        <w:t>app_multi.py</w:t>
      </w:r>
      <w:r>
        <w:t xml:space="preserve"> 使用 FastAPI 實作。當接收到 </w:t>
      </w:r>
      <w:r>
        <w:rPr>
          <w:rFonts w:ascii="Courier New" w:hAnsi="Courier New"/>
          <w:color w:val="A31515"/>
          <w:sz w:val="20"/>
        </w:rPr>
        <w:t>/api/chat</w:t>
      </w:r>
      <w:r>
        <w:t xml:space="preserve"> 的問答請求時，RAG 的核心邏輯如下：</w:t>
      </w:r>
    </w:p>
    <w:p>
      <w:pPr>
        <w:pStyle w:val="ListNumber"/>
        <w:spacing w:before="40" w:after="40"/>
      </w:pPr>
      <w:r>
        <w:rPr>
          <w:b/>
        </w:rPr>
        <w:t>脈絡提取</w:t>
      </w:r>
      <w:r>
        <w:t xml:space="preserve">：檢索出 Top-4 關聯段落，將其檔案來源、章節名稱與內文拼接為 </w:t>
      </w:r>
      <w:r>
        <w:rPr>
          <w:rFonts w:ascii="Courier New" w:hAnsi="Courier New"/>
          <w:color w:val="A31515"/>
          <w:sz w:val="20"/>
        </w:rPr>
        <w:t>context_str</w:t>
      </w:r>
      <w:r>
        <w:t>。</w:t>
      </w:r>
    </w:p>
    <w:p>
      <w:pPr>
        <w:pStyle w:val="ListNumber"/>
        <w:spacing w:before="40" w:after="40"/>
      </w:pPr>
      <w:r>
        <w:rPr>
          <w:b/>
        </w:rPr>
        <w:t>提示詞工程 (Prompt Engineering)</w:t>
      </w:r>
      <w:r>
        <w:t xml:space="preserve">：將 </w:t>
      </w:r>
      <w:r>
        <w:rPr>
          <w:rFonts w:ascii="Courier New" w:hAnsi="Courier New"/>
          <w:color w:val="A31515"/>
          <w:sz w:val="20"/>
        </w:rPr>
        <w:t>context_str</w:t>
      </w:r>
      <w:r>
        <w:t xml:space="preserve"> 嵌入至 System Prompt 中，對模型施加嚴格的行為約束：</w:t>
      </w:r>
    </w:p>
    <w:p>
      <w:pPr>
        <w:pStyle w:val="ListBullet"/>
        <w:spacing w:before="40" w:after="40"/>
      </w:pPr>
      <w:r>
        <w:t>限定只能基於給定的上下文回答。</w:t>
      </w:r>
    </w:p>
    <w:p>
      <w:pPr>
        <w:pStyle w:val="ListBullet"/>
        <w:spacing w:before="40" w:after="40"/>
      </w:pPr>
      <w:r>
        <w:t>必須使用繁體中文。</w:t>
      </w:r>
    </w:p>
    <w:p>
      <w:pPr>
        <w:pStyle w:val="ListBullet"/>
        <w:spacing w:before="40" w:after="40"/>
      </w:pPr>
      <w:r>
        <w:t>善用 Markdown 語法（列表、表格、粗體）提升可讀性。</w:t>
      </w:r>
    </w:p>
    <w:p>
      <w:pPr>
        <w:pStyle w:val="ListBullet"/>
        <w:spacing w:before="40" w:after="40"/>
      </w:pPr>
      <w:r>
        <w:t>必須進行歸納整理，禁止全文複製。</w:t>
      </w:r>
    </w:p>
    <w:p>
      <w:pPr>
        <w:pStyle w:val="ListNumber"/>
        <w:spacing w:before="40" w:after="40"/>
      </w:pPr>
      <w:r>
        <w:rPr>
          <w:b/>
        </w:rPr>
        <w:t>SSE (Server-Sent Events) 串流發送</w:t>
      </w:r>
      <w:r>
        <w:t>：</w:t>
      </w:r>
    </w:p>
    <w:p>
      <w:pPr>
        <w:pStyle w:val="ListBullet"/>
        <w:spacing w:before="40" w:after="40"/>
      </w:pPr>
      <w:r>
        <w:t xml:space="preserve">首先發送 </w:t>
      </w:r>
      <w:r>
        <w:rPr>
          <w:rFonts w:ascii="Courier New" w:hAnsi="Courier New"/>
          <w:color w:val="A31515"/>
          <w:sz w:val="20"/>
        </w:rPr>
        <w:t>citations</w:t>
      </w:r>
      <w:r>
        <w:t xml:space="preserve"> 事件，將檢索到的來源手冊名稱與標題以 JSON 格式發送給前端，在對話框中顯示文獻標籤。</w:t>
      </w:r>
    </w:p>
    <w:p>
      <w:pPr>
        <w:pStyle w:val="ListBullet"/>
        <w:spacing w:before="40" w:after="40"/>
      </w:pPr>
      <w:r>
        <w:t xml:space="preserve">隨後與 Ollama 的 </w:t>
      </w:r>
      <w:r>
        <w:rPr>
          <w:rFonts w:ascii="Courier New" w:hAnsi="Courier New"/>
          <w:color w:val="A31515"/>
          <w:sz w:val="20"/>
        </w:rPr>
        <w:t>/api/chat</w:t>
      </w:r>
      <w:r>
        <w:t xml:space="preserve"> 連接，以 </w:t>
      </w:r>
      <w:r>
        <w:rPr>
          <w:rFonts w:ascii="Courier New" w:hAnsi="Courier New"/>
          <w:color w:val="A31515"/>
          <w:sz w:val="20"/>
        </w:rPr>
        <w:t>stream=True</w:t>
      </w:r>
      <w:r>
        <w:t xml:space="preserve"> 流式取得模型生成的字元（Tokens），並逐字以 </w:t>
      </w:r>
      <w:r>
        <w:rPr>
          <w:rFonts w:ascii="Courier New" w:hAnsi="Courier New"/>
          <w:color w:val="A31515"/>
          <w:sz w:val="20"/>
        </w:rPr>
        <w:t>text</w:t>
      </w:r>
      <w:r>
        <w:t xml:space="preserve"> 事件發送至前端瀏覽器，提供流暢的動態輸出體驗。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六、 知識庫維護與自訂擴充指南</w:t>
      </w:r>
    </w:p>
    <w:p>
      <w:pPr>
        <w:spacing w:before="80" w:after="80" w:line="276" w:lineRule="auto"/>
      </w:pPr>
      <w:r>
        <w:t>新系統的擴充非常直觀，任何人皆可輕鬆操作：</w:t>
      </w:r>
    </w:p>
    <w:p>
      <w:pPr>
        <w:pStyle w:val="ListNumber"/>
        <w:spacing w:before="40" w:after="40"/>
      </w:pPr>
      <w:r>
        <w:rPr>
          <w:b/>
        </w:rPr>
        <w:t>新增手冊</w:t>
      </w:r>
      <w:r>
        <w:t xml:space="preserve">：將您要擴充的任何主題 docx 文件，直接複製或拖放入專案根目錄下的 </w:t>
      </w:r>
      <w:r>
        <w:rPr>
          <w:rFonts w:ascii="Courier New" w:hAnsi="Courier New"/>
          <w:color w:val="A31515"/>
          <w:sz w:val="20"/>
        </w:rPr>
        <w:t>webpage_docs/</w:t>
      </w:r>
      <w:r>
        <w:t xml:space="preserve"> 資料夾內。</w:t>
      </w:r>
    </w:p>
    <w:p>
      <w:pPr>
        <w:pStyle w:val="ListNumber"/>
        <w:spacing w:before="40" w:after="40"/>
      </w:pPr>
      <w:r>
        <w:rPr>
          <w:b/>
        </w:rPr>
        <w:t>重新建立向量索引</w:t>
      </w:r>
      <w:r>
        <w:t>：在終端機中執行：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./restart_multi.sh --rebuild</w:t>
            </w:r>
          </w:p>
        </w:tc>
      </w:tr>
    </w:tbl>
    <w:p>
      <w:pPr>
        <w:spacing w:before="80" w:after="80" w:line="276" w:lineRule="auto"/>
      </w:pPr>
      <w:r>
        <w:t>腳本會引導執行：</w:t>
      </w:r>
    </w:p>
    <w:p>
      <w:pPr>
        <w:pStyle w:val="ListBullet"/>
        <w:spacing w:before="40" w:after="40"/>
      </w:pPr>
      <w:r>
        <w:t xml:space="preserve">清空並重新掃描 </w:t>
      </w:r>
      <w:r>
        <w:rPr>
          <w:rFonts w:ascii="Courier New" w:hAnsi="Courier New"/>
          <w:color w:val="A31515"/>
          <w:sz w:val="20"/>
        </w:rPr>
        <w:t>webpage_docs/</w:t>
      </w:r>
      <w:r>
        <w:t xml:space="preserve"> 資料夾。</w:t>
      </w:r>
    </w:p>
    <w:p>
      <w:pPr>
        <w:pStyle w:val="ListBullet"/>
        <w:spacing w:before="40" w:after="40"/>
      </w:pPr>
      <w:r>
        <w:t xml:space="preserve">調用 </w:t>
      </w:r>
      <w:r>
        <w:rPr>
          <w:rFonts w:ascii="Courier New" w:hAnsi="Courier New"/>
          <w:color w:val="A31515"/>
          <w:sz w:val="20"/>
        </w:rPr>
        <w:t>multi_parser.py</w:t>
      </w:r>
      <w:r>
        <w:t xml:space="preserve"> 切分段落，生成新的 </w:t>
      </w:r>
      <w:r>
        <w:rPr>
          <w:rFonts w:ascii="Courier New" w:hAnsi="Courier New"/>
          <w:color w:val="A31515"/>
          <w:sz w:val="20"/>
        </w:rPr>
        <w:t>parsed_multi_docs.json</w:t>
      </w:r>
      <w:r>
        <w:t>。</w:t>
      </w:r>
    </w:p>
    <w:p>
      <w:pPr>
        <w:pStyle w:val="ListBullet"/>
        <w:spacing w:before="40" w:after="40"/>
      </w:pPr>
      <w:r>
        <w:t xml:space="preserve">調用 </w:t>
      </w:r>
      <w:r>
        <w:rPr>
          <w:rFonts w:ascii="Courier New" w:hAnsi="Courier New"/>
          <w:color w:val="A31515"/>
          <w:sz w:val="20"/>
        </w:rPr>
        <w:t>multi_embedder.py</w:t>
      </w:r>
      <w:r>
        <w:t xml:space="preserve"> 向 Ollama 請求語意向量，並寫入 </w:t>
      </w:r>
      <w:r>
        <w:rPr>
          <w:rFonts w:ascii="Courier New" w:hAnsi="Courier New"/>
          <w:color w:val="A31515"/>
          <w:sz w:val="20"/>
        </w:rPr>
        <w:t>multi_knowledge.db</w:t>
      </w:r>
      <w:r>
        <w:t>。</w:t>
      </w:r>
    </w:p>
    <w:p>
      <w:pPr>
        <w:pStyle w:val="ListBullet"/>
        <w:spacing w:before="40" w:after="40"/>
      </w:pPr>
      <w:r>
        <w:t>自動重啟 FastAPI 服務，載入最新的向量矩陣。</w:t>
      </w:r>
    </w:p>
    <w:p>
      <w:pPr>
        <w:pStyle w:val="ListNumber"/>
        <w:spacing w:before="40" w:after="40"/>
      </w:pPr>
      <w:r>
        <w:rPr>
          <w:b/>
        </w:rPr>
        <w:t>即時生效</w:t>
      </w:r>
      <w:r>
        <w:t>：刷新瀏覽器網頁，即可對新匯入的手冊內容進行語意檢索與 RAG 智能對答！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