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240"/>
      </w:pPr>
      <w:r>
        <w:rPr>
          <w:b/>
          <w:color w:val="004D40"/>
        </w:rPr>
        <w:t>AquaRAG 系統：RAG 模型製作流程與技術原理指南</w:t>
      </w:r>
    </w:p>
    <w:p>
      <w:pPr>
        <w:spacing w:before="80" w:after="80" w:line="276" w:lineRule="auto"/>
      </w:pPr>
      <w:r>
        <w:t>本指南詳細拆解 AquaRAG 系統的「檢索增強生成」(Retrieval-Augmented Generation, RAG) 建置流程、底層數學原理、程式實作方法以及服務部署架構。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RAG 系統架構全景</w:t>
      </w:r>
    </w:p>
    <w:p>
      <w:pPr>
        <w:spacing w:before="80" w:after="80" w:line="276" w:lineRule="auto"/>
      </w:pPr>
      <w:r>
        <w:t>AquaRAG 系統的架構基於以下流程，將非結構化知識（Word 考題詳解）轉化為具備即時語意對答能力之 AI 專家系統：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graph TD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A[魚類生理學歷屆試題專家解答.docx] --&gt;|parser.py 解析| B(parsed_questions.json)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B --&gt;|embedder.py 向量化| C(nomic-embed-text 嵌入模型)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C --&gt;|NumPy tobytes| D[(rag_database.db SQLite向量資料庫)]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E[使用者提問] --&gt;|search_engine.py 檢索| F(NumPy 記憶體快取矩陣)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D --&gt;|啟動時載入快取| F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F --&gt;|餘弦相似度比對| G(取得相似度最高 Top-4 上下文)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G --&gt;|app.py 組合 Prompt| H(qwen2.5 語言模型)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E --&gt; H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H --&gt;|FastAPI SSE 串流| I[前端 SPA 網頁端顯示]</w:t>
            </w:r>
          </w:p>
        </w:tc>
      </w:tr>
    </w:tbl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階段一：文件結構化解析 (Document Parsing)</w:t>
      </w:r>
    </w:p>
    <w:p>
      <w:pPr>
        <w:pStyle w:val="Heading2"/>
        <w:spacing w:before="200" w:after="80"/>
      </w:pPr>
      <w:r>
        <w:rPr>
          <w:b/>
          <w:color w:val="00897B"/>
        </w:rPr>
        <w:t>1.1 核心任務</w:t>
      </w:r>
    </w:p>
    <w:p>
      <w:pPr>
        <w:spacing w:before="80" w:after="80" w:line="276" w:lineRule="auto"/>
      </w:pPr>
      <w:r>
        <w:t xml:space="preserve">原始文件 </w:t>
      </w:r>
      <w:r>
        <w:rPr>
          <w:rFonts w:ascii="Courier New" w:hAnsi="Courier New"/>
          <w:color w:val="A31515"/>
          <w:sz w:val="20"/>
        </w:rPr>
        <w:t>魚類生理學歷屆試題專家解答.docx</w:t>
      </w:r>
      <w:r>
        <w:t xml:space="preserve"> 包含多套試卷、不同題型與大量數據表格。RAG 系統的第一步是將非結構化文字切分成獨立的、語意完整的知識塊（Chunk），並將表格轉換為大語言模型易於理解的格式。</w:t>
      </w:r>
    </w:p>
    <w:p>
      <w:pPr>
        <w:pStyle w:val="Heading2"/>
        <w:spacing w:before="200" w:after="80"/>
      </w:pPr>
      <w:r>
        <w:rPr>
          <w:b/>
          <w:color w:val="00897B"/>
        </w:rPr>
        <w:t>1.2 實作方法與程式碼追蹤：[parser.py](file:///Users/albert/Documents/RAG/parser.py)</w:t>
      </w:r>
    </w:p>
    <w:p>
      <w:pPr>
        <w:pStyle w:val="ListBullet"/>
        <w:spacing w:before="40" w:after="40"/>
      </w:pPr>
      <w:r>
        <w:rPr>
          <w:b/>
        </w:rPr>
        <w:t>區塊按序走訪</w:t>
      </w:r>
      <w:r>
        <w:t xml:space="preserve">：使用自訂函數 </w:t>
      </w:r>
      <w:r>
        <w:rPr>
          <w:rFonts w:ascii="Courier New" w:hAnsi="Courier New"/>
          <w:color w:val="A31515"/>
          <w:sz w:val="20"/>
        </w:rPr>
        <w:t>iter_block_items</w:t>
      </w:r>
      <w:r>
        <w:t xml:space="preserve"> 循序走訪 Word 中的段落 (</w:t>
      </w:r>
      <w:r>
        <w:rPr>
          <w:rFonts w:ascii="Courier New" w:hAnsi="Courier New"/>
          <w:color w:val="A31515"/>
          <w:sz w:val="20"/>
        </w:rPr>
        <w:t>Paragraph</w:t>
      </w:r>
      <w:r>
        <w:t>) 與表格 (</w:t>
      </w:r>
      <w:r>
        <w:rPr>
          <w:rFonts w:ascii="Courier New" w:hAnsi="Courier New"/>
          <w:color w:val="A31515"/>
          <w:sz w:val="20"/>
        </w:rPr>
        <w:t>Table</w:t>
      </w:r>
      <w:r>
        <w:t>)，確保不因 Word 內部 XML 結構而打亂資料的前後文順序。</w:t>
      </w:r>
    </w:p>
    <w:p>
      <w:pPr>
        <w:pStyle w:val="ListBullet"/>
        <w:spacing w:before="40" w:after="40"/>
      </w:pPr>
      <w:r>
        <w:rPr>
          <w:b/>
        </w:rPr>
        <w:t>正規表達式邊界識別</w:t>
      </w:r>
      <w:r>
        <w:t>：</w:t>
      </w:r>
    </w:p>
    <w:p>
      <w:pPr>
        <w:pStyle w:val="ListBullet"/>
        <w:spacing w:before="40" w:after="40"/>
      </w:pPr>
      <w:r>
        <w:t xml:space="preserve">使用 </w:t>
      </w:r>
      <w:r>
        <w:rPr>
          <w:rFonts w:ascii="Courier New" w:hAnsi="Courier New"/>
          <w:color w:val="A31515"/>
          <w:sz w:val="20"/>
        </w:rPr>
        <w:t>^第\s*(\d+)\s*套試題：(.*)$</w:t>
      </w:r>
      <w:r>
        <w:t xml:space="preserve"> 辨識考試套數。</w:t>
      </w:r>
    </w:p>
    <w:p>
      <w:pPr>
        <w:pStyle w:val="ListBullet"/>
        <w:spacing w:before="40" w:after="40"/>
      </w:pPr>
      <w:r>
        <w:t xml:space="preserve">使用 </w:t>
      </w:r>
      <w:r>
        <w:rPr>
          <w:rFonts w:ascii="Courier New" w:hAnsi="Courier New"/>
          <w:color w:val="A31515"/>
          <w:sz w:val="20"/>
        </w:rPr>
        <w:t>^第\s*(\d+)\s*題：(.*)$</w:t>
      </w:r>
      <w:r>
        <w:t xml:space="preserve"> 作為切割邊界，將每個問題與對應解析分流。</w:t>
      </w:r>
    </w:p>
    <w:p>
      <w:pPr>
        <w:pStyle w:val="ListBullet"/>
        <w:spacing w:before="40" w:after="40"/>
      </w:pPr>
      <w:r>
        <w:rPr>
          <w:b/>
        </w:rPr>
        <w:t>表格 Markdown 化</w:t>
      </w:r>
      <w:r>
        <w:t>：大語言模型通常無法直接閱讀 XML 格式的表格。</w:t>
      </w:r>
      <w:r>
        <w:rPr>
          <w:b/>
          <w:color w:val="0066CC"/>
        </w:rPr>
        <w:t>parser.py:L28-L61</w:t>
      </w:r>
      <w:r>
        <w:t xml:space="preserve"> 的 </w:t>
      </w:r>
      <w:r>
        <w:rPr>
          <w:rFonts w:ascii="Courier New" w:hAnsi="Courier New"/>
          <w:color w:val="A31515"/>
          <w:sz w:val="20"/>
        </w:rPr>
        <w:t>table_to_markdown</w:t>
      </w:r>
      <w:r>
        <w:t xml:space="preserve"> 函數遍歷表格行與單元格，將其轉換為標準的 Markdown 表格語法（包含 </w:t>
      </w:r>
      <w:r>
        <w:rPr>
          <w:rFonts w:ascii="Courier New" w:hAnsi="Courier New"/>
          <w:color w:val="A31515"/>
          <w:sz w:val="20"/>
        </w:rPr>
        <w:t>|</w:t>
      </w:r>
      <w:r>
        <w:t xml:space="preserve"> 符號與 </w:t>
      </w:r>
      <w:r>
        <w:rPr>
          <w:rFonts w:ascii="Courier New" w:hAnsi="Courier New"/>
          <w:color w:val="A31515"/>
          <w:sz w:val="20"/>
        </w:rPr>
        <w:t>---</w:t>
      </w:r>
      <w:r>
        <w:t xml:space="preserve"> 標頭對齊線），若為 1x1 表格（代表原題重現），則轉為引言格式 (</w:t>
      </w:r>
      <w:r>
        <w:rPr>
          <w:rFonts w:ascii="Courier New" w:hAnsi="Courier New"/>
          <w:color w:val="A31515"/>
          <w:sz w:val="20"/>
        </w:rPr>
        <w:t>&gt;</w:t>
      </w:r>
      <w:r>
        <w:t>)。</w:t>
      </w:r>
    </w:p>
    <w:p>
      <w:pPr>
        <w:pStyle w:val="ListBullet"/>
        <w:spacing w:before="40" w:after="40"/>
      </w:pPr>
      <w:r>
        <w:rPr>
          <w:b/>
        </w:rPr>
        <w:t>解析輸出</w:t>
      </w:r>
      <w:r>
        <w:t xml:space="preserve">：最終將 300 筆結構化考題輸出為 </w:t>
      </w:r>
      <w:r>
        <w:rPr>
          <w:rFonts w:ascii="Courier New" w:hAnsi="Courier New"/>
          <w:color w:val="A31515"/>
          <w:sz w:val="20"/>
        </w:rPr>
        <w:t>parsed_questions.json</w:t>
      </w:r>
      <w:r>
        <w:t>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階段二：語意向量化嵌入 (Vector Embedding)</w:t>
      </w:r>
    </w:p>
    <w:p>
      <w:pPr>
        <w:pStyle w:val="Heading2"/>
        <w:spacing w:before="200" w:after="80"/>
      </w:pPr>
      <w:r>
        <w:rPr>
          <w:b/>
          <w:color w:val="00897B"/>
        </w:rPr>
        <w:t>2.1 核心任務</w:t>
      </w:r>
    </w:p>
    <w:p>
      <w:pPr>
        <w:spacing w:before="80" w:after="80" w:line="276" w:lineRule="auto"/>
      </w:pPr>
      <w:r>
        <w:t>將結構化文字轉換為包含豐富語意特徵的實數向量（Embedding）。向量空間中距離越近的文字，其代表的生理學語意相似度越高。</w:t>
      </w:r>
    </w:p>
    <w:p>
      <w:pPr>
        <w:pStyle w:val="Heading2"/>
        <w:spacing w:before="200" w:after="80"/>
      </w:pPr>
      <w:r>
        <w:rPr>
          <w:b/>
          <w:color w:val="00897B"/>
        </w:rPr>
        <w:t>2.2 實作方法與模型規格：[embedder.py](file:///Users/albert/Documents/RAG/embedder.py)</w:t>
      </w:r>
    </w:p>
    <w:p>
      <w:pPr>
        <w:pStyle w:val="ListBullet"/>
        <w:spacing w:before="40" w:after="40"/>
      </w:pPr>
      <w:r>
        <w:rPr>
          <w:b/>
        </w:rPr>
        <w:t>向量模型</w:t>
      </w:r>
      <w:r>
        <w:t xml:space="preserve">：採用 Ollama 本地部署的 </w:t>
      </w:r>
      <w:r>
        <w:rPr>
          <w:rFonts w:ascii="Courier New" w:hAnsi="Courier New"/>
          <w:color w:val="A31515"/>
          <w:sz w:val="20"/>
        </w:rPr>
        <w:t>nomic-embed-text</w:t>
      </w:r>
      <w:r>
        <w:t xml:space="preserve"> 模型，此模型支援長文本嵌入，輸出維度為 </w:t>
      </w:r>
      <w:r>
        <w:rPr>
          <w:b/>
        </w:rPr>
        <w:t>768 維</w:t>
      </w:r>
      <w:r>
        <w:t xml:space="preserve"> 的浮點數向量。</w:t>
      </w:r>
    </w:p>
    <w:p>
      <w:pPr>
        <w:pStyle w:val="ListBullet"/>
        <w:spacing w:before="40" w:after="40"/>
      </w:pPr>
      <w:r>
        <w:rPr>
          <w:b/>
        </w:rPr>
        <w:t>特徵文本建構</w:t>
      </w:r>
      <w:r>
        <w:t>：為了使檢索階段對「題目、年份、內分泌名稱、生理機制」等關鍵詞有更高的敏感度，系統會先對資料進行拼接：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feature_text = f"考試套數: {exam_set} | 題號: {q_num} | 題目名稱: {q_title} | 原題內容: {orig_q} | 解析內容: {content[:1000]}"</w:t>
            </w:r>
          </w:p>
        </w:tc>
      </w:tr>
    </w:tbl>
    <w:p>
      <w:pPr>
        <w:spacing w:before="80" w:after="80" w:line="276" w:lineRule="auto"/>
      </w:pPr>
      <w:r>
        <w:t>這能保證檢索時無論使用者是以「題目大綱」查詢，還是以「專家解答的關鍵生理機制」查詢，均能與特徵向量吻合。</w:t>
      </w:r>
    </w:p>
    <w:p>
      <w:pPr>
        <w:pStyle w:val="ListBullet"/>
        <w:spacing w:before="40" w:after="40"/>
      </w:pPr>
      <w:r>
        <w:rPr>
          <w:b/>
        </w:rPr>
        <w:t>呼叫本地 API</w:t>
      </w:r>
      <w:r>
        <w:t xml:space="preserve">：對本地 </w:t>
      </w:r>
      <w:r>
        <w:rPr>
          <w:rFonts w:ascii="Courier New" w:hAnsi="Courier New"/>
          <w:color w:val="A31515"/>
          <w:sz w:val="20"/>
        </w:rPr>
        <w:t>http://localhost:11434/api/embeddings</w:t>
      </w:r>
      <w:r>
        <w:t xml:space="preserve"> 發送 HTTP POST 請求獲取向量。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階段三：向量資料庫建置與記憶體優化 (Database &amp; Memory Mapping)</w:t>
      </w:r>
    </w:p>
    <w:p>
      <w:pPr>
        <w:pStyle w:val="Heading2"/>
        <w:spacing w:before="200" w:after="80"/>
      </w:pPr>
      <w:r>
        <w:rPr>
          <w:b/>
          <w:color w:val="00897B"/>
        </w:rPr>
        <w:t>3.1 核心任務</w:t>
      </w:r>
    </w:p>
    <w:p>
      <w:pPr>
        <w:spacing w:before="80" w:after="80" w:line="276" w:lineRule="auto"/>
      </w:pPr>
      <w:r>
        <w:t>將文字、後設資料 (Metadata) 及 768 維的特徵向量進行持久化儲存，並在此基礎上實現快速檢索。</w:t>
      </w:r>
    </w:p>
    <w:p>
      <w:pPr>
        <w:pStyle w:val="Heading2"/>
        <w:spacing w:before="200" w:after="80"/>
      </w:pPr>
      <w:r>
        <w:rPr>
          <w:b/>
          <w:color w:val="00897B"/>
        </w:rPr>
        <w:t>3.2 儲存設計</w:t>
      </w:r>
    </w:p>
    <w:p>
      <w:pPr>
        <w:pStyle w:val="ListBullet"/>
        <w:spacing w:before="40" w:after="40"/>
      </w:pPr>
      <w:r>
        <w:rPr>
          <w:b/>
        </w:rPr>
        <w:t>SQLite 關係型儲存</w:t>
      </w:r>
      <w:r>
        <w:t xml:space="preserve">：在本地 </w:t>
      </w:r>
      <w:r>
        <w:rPr>
          <w:rFonts w:ascii="Courier New" w:hAnsi="Courier New"/>
          <w:color w:val="A31515"/>
          <w:sz w:val="20"/>
        </w:rPr>
        <w:t>rag_database.db</w:t>
      </w:r>
      <w:r>
        <w:t xml:space="preserve"> 建立 </w:t>
      </w:r>
      <w:r>
        <w:rPr>
          <w:rFonts w:ascii="Courier New" w:hAnsi="Courier New"/>
          <w:color w:val="A31515"/>
          <w:sz w:val="20"/>
        </w:rPr>
        <w:t>questions</w:t>
      </w:r>
      <w:r>
        <w:t xml:space="preserve"> 資料表：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id</w:t>
      </w:r>
      <w:r>
        <w:t xml:space="preserve"> (INTEGER, Primary Key)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exam_set</w:t>
      </w:r>
      <w:r>
        <w:t xml:space="preserve"> (TEXT)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question_num</w:t>
      </w:r>
      <w:r>
        <w:t xml:space="preserve"> (TEXT)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question_title</w:t>
      </w:r>
      <w:r>
        <w:t xml:space="preserve"> (TEXT)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original_question</w:t>
      </w:r>
      <w:r>
        <w:t xml:space="preserve"> (TEXT)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full_content</w:t>
      </w:r>
      <w:r>
        <w:t xml:space="preserve"> (TEXT)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embedding</w:t>
      </w:r>
      <w:r>
        <w:t xml:space="preserve"> (BLOB) — 存放二進位向量資料。</w:t>
      </w:r>
    </w:p>
    <w:p>
      <w:pPr>
        <w:pStyle w:val="ListBullet"/>
        <w:spacing w:before="40" w:after="40"/>
      </w:pPr>
      <w:r>
        <w:rPr>
          <w:b/>
        </w:rPr>
        <w:t>NumPy 序列化優化</w:t>
      </w:r>
      <w:r>
        <w:t>：因為 SQLite 不支援原生向量型別，</w:t>
      </w:r>
      <w:r>
        <w:rPr>
          <w:b/>
          <w:color w:val="0066CC"/>
        </w:rPr>
        <w:t>embedder.py</w:t>
      </w:r>
      <w:r>
        <w:t xml:space="preserve"> 利用 </w:t>
      </w:r>
      <w:r>
        <w:rPr>
          <w:rFonts w:ascii="Courier New" w:hAnsi="Courier New"/>
          <w:color w:val="A31515"/>
          <w:sz w:val="20"/>
        </w:rPr>
        <w:t>numpy.ndarray.tobytes()</w:t>
      </w:r>
      <w:r>
        <w:t xml:space="preserve"> 將 </w:t>
      </w:r>
      <w:r>
        <w:rPr>
          <w:rFonts w:ascii="Courier New" w:hAnsi="Courier New"/>
          <w:color w:val="A31515"/>
          <w:sz w:val="20"/>
        </w:rPr>
        <w:t>float32</w:t>
      </w:r>
      <w:r>
        <w:t xml:space="preserve"> 陣列（長度為 $768 \times 4$ 位元組 = $3072$ 位元組）序列化為二進位 </w:t>
      </w:r>
      <w:r>
        <w:rPr>
          <w:rFonts w:ascii="Courier New" w:hAnsi="Courier New"/>
          <w:color w:val="A31515"/>
          <w:sz w:val="20"/>
        </w:rPr>
        <w:t>BLOB</w:t>
      </w:r>
      <w:r>
        <w:t xml:space="preserve"> 寫入資料庫。</w:t>
      </w:r>
    </w:p>
    <w:p>
      <w:pPr>
        <w:pStyle w:val="Heading2"/>
        <w:spacing w:before="200" w:after="80"/>
      </w:pPr>
      <w:r>
        <w:rPr>
          <w:b/>
          <w:color w:val="00897B"/>
        </w:rPr>
        <w:t>3.3 記憶體快取加速設計：[search_engine.py](file:///Users/albert/Documents/RAG/search_engine.py)</w:t>
      </w:r>
    </w:p>
    <w:p>
      <w:pPr>
        <w:spacing w:before="80" w:after="80" w:line="276" w:lineRule="auto"/>
      </w:pPr>
      <w:r>
        <w:t xml:space="preserve">如果每一次使用者提問都需對 SQLite 進行逐筆反序列化運算，將導致高延遲。因此在 </w:t>
      </w:r>
      <w:r>
        <w:rPr>
          <w:b/>
          <w:color w:val="0066CC"/>
        </w:rPr>
        <w:t>search_engine.py:L14-L52</w:t>
      </w:r>
      <w:r>
        <w:t xml:space="preserve"> 的 </w:t>
      </w:r>
      <w:r>
        <w:rPr>
          <w:rFonts w:ascii="Courier New" w:hAnsi="Courier New"/>
          <w:color w:val="A31515"/>
          <w:sz w:val="20"/>
        </w:rPr>
        <w:t>load_database</w:t>
      </w:r>
      <w:r>
        <w:t xml:space="preserve"> 中：</w:t>
      </w:r>
    </w:p>
    <w:p>
      <w:pPr>
        <w:pStyle w:val="ListNumber"/>
        <w:spacing w:before="40" w:after="40"/>
      </w:pPr>
      <w:r>
        <w:t>系統啟動時，一次性將資料庫中 300 筆資料讀入。</w:t>
      </w:r>
    </w:p>
    <w:p>
      <w:pPr>
        <w:pStyle w:val="ListNumber"/>
        <w:spacing w:before="40" w:after="40"/>
      </w:pPr>
      <w:r>
        <w:t xml:space="preserve">利用 </w:t>
      </w:r>
      <w:r>
        <w:rPr>
          <w:rFonts w:ascii="Courier New" w:hAnsi="Courier New"/>
          <w:color w:val="A31515"/>
          <w:sz w:val="20"/>
        </w:rPr>
        <w:t>np.frombuffer(emb_bytes, dtype=np.float32)</w:t>
      </w:r>
      <w:r>
        <w:t xml:space="preserve"> 還原向量。</w:t>
      </w:r>
    </w:p>
    <w:p>
      <w:pPr>
        <w:pStyle w:val="ListNumber"/>
        <w:spacing w:before="40" w:after="40"/>
      </w:pPr>
      <w:r>
        <w:t xml:space="preserve">使用 </w:t>
      </w:r>
      <w:r>
        <w:rPr>
          <w:rFonts w:ascii="Courier New" w:hAnsi="Courier New"/>
          <w:color w:val="A31515"/>
          <w:sz w:val="20"/>
        </w:rPr>
        <w:t>np.vstack(emb_list)</w:t>
      </w:r>
      <w:r>
        <w:t xml:space="preserve"> 將 300 個 768 維的向量堆疊為一個 </w:t>
      </w:r>
      <w:r>
        <w:rPr>
          <w:b/>
        </w:rPr>
        <w:t>$300 \times 768$ 的 NumPy 矩陣</w:t>
      </w:r>
      <w:r>
        <w:t xml:space="preserve"> 快取於記憶體中。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階段四：語意檢索與降級機制 (Semantic Retrieval &amp; Failover)</w:t>
      </w:r>
    </w:p>
    <w:p>
      <w:pPr>
        <w:pStyle w:val="Heading2"/>
        <w:spacing w:before="200" w:after="80"/>
      </w:pPr>
      <w:r>
        <w:rPr>
          <w:b/>
          <w:color w:val="00897B"/>
        </w:rPr>
        <w:t>4.1 餘弦相似度原理</w:t>
      </w:r>
    </w:p>
    <w:p>
      <w:pPr>
        <w:spacing w:before="80" w:after="80" w:line="276" w:lineRule="auto"/>
      </w:pPr>
      <w:r>
        <w:t xml:space="preserve">當使用者輸入查詢語句 $Q$ 時，系統將其轉為向量 $\vec{q}$。隨後，將 $\vec{q}$ 與快取矩陣中的每一筆試題向量 $\vec{d_i}$ 計算 </w:t>
      </w:r>
      <w:r>
        <w:rPr>
          <w:b/>
        </w:rPr>
        <w:t>餘弦相似度 (Cosine Similarity)</w:t>
      </w:r>
      <w:r>
        <w:t>：</w:t>
      </w:r>
    </w:p>
    <w:p>
      <w:pPr>
        <w:spacing w:before="160" w:after="160"/>
        <w:jc w:val="center"/>
      </w:pPr>
      <w:r>
        <w:rPr>
          <w:rFonts w:ascii="Times New Roman" w:hAnsi="Times New Roman"/>
          <w:i/>
          <w:sz w:val="22"/>
        </w:rPr>
        <w:t>\text{Similarity}(Q, D_i) = \frac{\vec{q} \cdot \vec{d_i}}{\|\vec{q}\| \|\vec{d_i}\|} = \frac{\sum_{j=1}^{768} q_j d_{i,j}}{\sqrt{\sum_{j=1}^{768} q_j^2} \sqrt{\sum_{j=1}^{768} d_{i,j}^2}}</w:t>
      </w:r>
    </w:p>
    <w:p>
      <w:pPr>
        <w:spacing w:before="80" w:after="80" w:line="276" w:lineRule="auto"/>
      </w:pPr>
      <w:r>
        <w:t>該指標的值介於 $-1$ 與 $1$ 之間，值越接近 $1$ 表示語意越相似。</w:t>
      </w:r>
    </w:p>
    <w:p>
      <w:pPr>
        <w:pStyle w:val="Heading2"/>
        <w:spacing w:before="200" w:after="80"/>
      </w:pPr>
      <w:r>
        <w:rPr>
          <w:b/>
          <w:color w:val="00897B"/>
        </w:rPr>
        <w:t>4.2 程式碼實作：[search_engine.py:L71-L102](file:///Users/albert/Documents/RAG/search_engine.py#L71-L102)</w:t>
      </w:r>
    </w:p>
    <w:p>
      <w:pPr>
        <w:pStyle w:val="ListBullet"/>
        <w:spacing w:before="40" w:after="40"/>
      </w:pPr>
      <w:r>
        <w:rPr>
          <w:b/>
        </w:rPr>
        <w:t>向量矩陣乘法</w:t>
      </w:r>
      <w: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dot_product = np.dot(self.embeddings, query_emb)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norm_a = np.linalg.norm(self.embeddings, axis=1)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norm_b = np.linalg.norm(query_emb)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similarities = dot_product / (norm_a * norm_b + 1e-8)</w:t>
            </w:r>
          </w:p>
        </w:tc>
      </w:tr>
    </w:tbl>
    <w:p>
      <w:pPr>
        <w:spacing w:before="80" w:after="80" w:line="276" w:lineRule="auto"/>
      </w:pPr>
      <w:r>
        <w:t>這行矩陣運算可以在微秒 (microseconds) 等級內同時計算出該提問與資料庫所有 300 道試題的相似度得分。</w:t>
      </w:r>
    </w:p>
    <w:p>
      <w:pPr>
        <w:pStyle w:val="ListBullet"/>
        <w:spacing w:before="40" w:after="40"/>
      </w:pPr>
      <w:r>
        <w:rPr>
          <w:b/>
        </w:rPr>
        <w:t>排序與過濾</w:t>
      </w:r>
      <w:r>
        <w:t xml:space="preserve">：使用 </w:t>
      </w:r>
      <w:r>
        <w:rPr>
          <w:rFonts w:ascii="Courier New" w:hAnsi="Courier New"/>
          <w:color w:val="A31515"/>
          <w:sz w:val="20"/>
        </w:rPr>
        <w:t>np.argsort(similarities)[::-1][:top_k]</w:t>
      </w:r>
      <w:r>
        <w:t xml:space="preserve"> 提取相似度最高的前 $K$ 筆考題。</w:t>
      </w:r>
    </w:p>
    <w:p>
      <w:pPr>
        <w:pStyle w:val="Heading2"/>
        <w:spacing w:before="200" w:after="80"/>
      </w:pPr>
      <w:r>
        <w:rPr>
          <w:b/>
          <w:color w:val="00897B"/>
        </w:rPr>
        <w:t>4.3 降級備援機制 (Fallback Keyword Search)</w:t>
      </w:r>
    </w:p>
    <w:p>
      <w:pPr>
        <w:spacing w:before="80" w:after="80" w:line="276" w:lineRule="auto"/>
      </w:pPr>
      <w:r>
        <w:t xml:space="preserve">若 Ollama 服務離線、本地網路不通或缺少模型時，系統內建了 </w:t>
      </w:r>
      <w:r>
        <w:rPr>
          <w:rFonts w:ascii="Courier New" w:hAnsi="Courier New"/>
          <w:color w:val="A31515"/>
          <w:sz w:val="20"/>
        </w:rPr>
        <w:t>keyword_search</w:t>
      </w:r>
      <w:r>
        <w:t xml:space="preserve"> 降級機制：</w:t>
      </w:r>
    </w:p>
    <w:p>
      <w:pPr>
        <w:pStyle w:val="ListBullet"/>
        <w:spacing w:before="40" w:after="40"/>
      </w:pPr>
      <w:r>
        <w:t>進行基礎關鍵字分詞比對。</w:t>
      </w:r>
    </w:p>
    <w:p>
      <w:pPr>
        <w:pStyle w:val="ListBullet"/>
        <w:spacing w:before="40" w:after="40"/>
      </w:pPr>
      <w:r>
        <w:t>命中題目（Title）給予權重 5.0，命中內容（Content）給予權重 1.0。</w:t>
      </w:r>
    </w:p>
    <w:p>
      <w:pPr>
        <w:pStyle w:val="ListBullet"/>
        <w:spacing w:before="40" w:after="40"/>
      </w:pPr>
      <w:r>
        <w:t>計算出加權得分，並以線性映射方式回傳一個假的相似度分數。這確保了即便在 AI 模型基礎設施故障的情況下，前端使用者仍能透過關鍵字找到正確的專家解答。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階段五：檢索增強生成與 SSE 串流 (SSE Streaming Generation)</w:t>
      </w:r>
    </w:p>
    <w:p>
      <w:pPr>
        <w:pStyle w:val="Heading2"/>
        <w:spacing w:before="200" w:after="80"/>
      </w:pPr>
      <w:r>
        <w:rPr>
          <w:b/>
          <w:color w:val="00897B"/>
        </w:rPr>
        <w:t>5.1 上下文注入與 Prompt 工程</w:t>
      </w:r>
    </w:p>
    <w:p>
      <w:pPr>
        <w:spacing w:before="80" w:after="80" w:line="276" w:lineRule="auto"/>
      </w:pPr>
      <w:r>
        <w:t xml:space="preserve">搜尋引擎返回的 Top-4 專家解答，會作為外部知識源，與對話歷史紀錄一併注入給大語言模型。在 </w:t>
      </w:r>
      <w:r>
        <w:rPr>
          <w:b/>
          <w:color w:val="0066CC"/>
        </w:rPr>
        <w:t>app.py:L170-L185</w:t>
      </w:r>
      <w:r>
        <w:t xml:space="preserve"> 中建構了嚴格的 Prompt 模板：</w:t>
      </w:r>
    </w:p>
    <w:p>
      <w:pPr>
        <w:pStyle w:val="ListBullet"/>
        <w:spacing w:before="40" w:after="40"/>
      </w:pPr>
      <w:r>
        <w:rPr>
          <w:b/>
        </w:rPr>
        <w:t>角色定位</w:t>
      </w:r>
      <w:r>
        <w:t>：指定為「魚類生理學」學術與國考專家。</w:t>
      </w:r>
    </w:p>
    <w:p>
      <w:pPr>
        <w:pStyle w:val="ListBullet"/>
        <w:spacing w:before="40" w:after="40"/>
      </w:pPr>
      <w:r>
        <w:rPr>
          <w:b/>
        </w:rPr>
        <w:t>約束條件</w:t>
      </w:r>
      <w:r>
        <w:t>：要求高度學術性、善用 Markdown 呈現、必須是繁體中文、不得複製無關段落，必須融會貫通。</w:t>
      </w:r>
    </w:p>
    <w:p>
      <w:pPr>
        <w:pStyle w:val="ListBullet"/>
        <w:spacing w:before="40" w:after="40"/>
      </w:pPr>
      <w:r>
        <w:rPr>
          <w:b/>
        </w:rPr>
        <w:t>引用揭露</w:t>
      </w:r>
      <w:r>
        <w:t xml:space="preserve">：將 Top-4 考題的 </w:t>
      </w:r>
      <w:r>
        <w:rPr>
          <w:rFonts w:ascii="Courier New" w:hAnsi="Courier New"/>
          <w:color w:val="A31515"/>
          <w:sz w:val="20"/>
        </w:rPr>
        <w:t>exam_set</w:t>
      </w:r>
      <w:r>
        <w:t xml:space="preserve"> 與 </w:t>
      </w:r>
      <w:r>
        <w:rPr>
          <w:rFonts w:ascii="Courier New" w:hAnsi="Courier New"/>
          <w:color w:val="A31515"/>
          <w:sz w:val="20"/>
        </w:rPr>
        <w:t>question_num</w:t>
      </w:r>
      <w:r>
        <w:t xml:space="preserve"> 格式化，引導模型參考。</w:t>
      </w:r>
    </w:p>
    <w:p>
      <w:pPr>
        <w:pStyle w:val="Heading2"/>
        <w:spacing w:before="200" w:after="80"/>
      </w:pPr>
      <w:r>
        <w:rPr>
          <w:b/>
          <w:color w:val="00897B"/>
        </w:rPr>
        <w:t>5.2 伺服器傳送事件 (Server-Sent Events, SSE) 串流</w:t>
      </w:r>
    </w:p>
    <w:p>
      <w:pPr>
        <w:spacing w:before="80" w:after="80" w:line="276" w:lineRule="auto"/>
      </w:pPr>
      <w:r>
        <w:t xml:space="preserve">為了改善大語言模型生成長文本時的等待時間（TTFT, Time To First Token），後端使用 FastAPI 的 </w:t>
      </w:r>
      <w:r>
        <w:rPr>
          <w:rFonts w:ascii="Courier New" w:hAnsi="Courier New"/>
          <w:color w:val="A31515"/>
          <w:sz w:val="20"/>
        </w:rPr>
        <w:t>StreamingResponse</w:t>
      </w:r>
      <w:r>
        <w:t xml:space="preserve"> 實現 SSE 串流技術：</w:t>
      </w:r>
    </w:p>
    <w:p>
      <w:pPr>
        <w:pStyle w:val="ListNumber"/>
        <w:spacing w:before="40" w:after="40"/>
      </w:pPr>
      <w:r>
        <w:rPr>
          <w:b/>
        </w:rPr>
        <w:t>傳送引用資訊</w:t>
      </w:r>
      <w:r>
        <w:t xml:space="preserve">：第一個推送的事件為 </w:t>
      </w:r>
      <w:r>
        <w:rPr>
          <w:rFonts w:ascii="Courier New" w:hAnsi="Courier New"/>
          <w:color w:val="A31515"/>
          <w:sz w:val="20"/>
        </w:rPr>
        <w:t>citations</w:t>
      </w:r>
      <w:r>
        <w:t xml:space="preserve"> 事件，包含所有被引用考題的 ID、試卷名稱與題號，讓前端能第一時間渲染「參考文獻」區塊。</w:t>
      </w:r>
    </w:p>
    <w:p>
      <w:pPr>
        <w:pStyle w:val="ListNumber"/>
        <w:spacing w:before="40" w:after="40"/>
      </w:pPr>
      <w:r>
        <w:rPr>
          <w:b/>
        </w:rPr>
        <w:t>傳送文本流</w:t>
      </w:r>
      <w:r>
        <w:t xml:space="preserve">：以 chunk 為單位，向本地 </w:t>
      </w:r>
      <w:r>
        <w:rPr>
          <w:rFonts w:ascii="Courier New" w:hAnsi="Courier New"/>
          <w:color w:val="A31515"/>
          <w:sz w:val="20"/>
        </w:rPr>
        <w:t>qwen2.5</w:t>
      </w:r>
      <w:r>
        <w:t xml:space="preserve"> 獲取生成的文字流，並包裝為 </w:t>
      </w:r>
      <w:r>
        <w:rPr>
          <w:rFonts w:ascii="Courier New" w:hAnsi="Courier New"/>
          <w:color w:val="A31515"/>
          <w:sz w:val="20"/>
        </w:rPr>
        <w:t>text</w:t>
      </w:r>
      <w:r>
        <w:t xml:space="preserve"> 事件逐步推送：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event: text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data: {"text": "生成內容..."}</w:t>
            </w:r>
          </w:p>
        </w:tc>
      </w:tr>
    </w:tbl>
    <w:p>
      <w:pPr>
        <w:pStyle w:val="ListNumber"/>
        <w:spacing w:before="40" w:after="40"/>
      </w:pPr>
      <w:r>
        <w:rPr>
          <w:b/>
        </w:rPr>
        <w:t>完成訊號</w:t>
      </w:r>
      <w:r>
        <w:t xml:space="preserve">：生成完畢後發送 </w:t>
      </w:r>
      <w:r>
        <w:rPr>
          <w:rFonts w:ascii="Courier New" w:hAnsi="Courier New"/>
          <w:color w:val="A31515"/>
          <w:sz w:val="20"/>
        </w:rPr>
        <w:t>done</w:t>
      </w:r>
      <w:r>
        <w:t xml:space="preserve"> 事件，讓前端 JavaScript 斷開連接並完成渲染。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