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2146"/>
        <w:gridCol w:w="2770"/>
        <w:gridCol w:w="2252"/>
      </w:tblGrid>
      <w:tr w:rsidR="00A27197" w:rsidRPr="00A27197" w14:paraId="31F552FE" w14:textId="77777777" w:rsidTr="00A271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BB87B" w14:textId="77777777" w:rsidR="00A27197" w:rsidRPr="00A27197" w:rsidRDefault="00A27197" w:rsidP="00A2719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Predictor</w:t>
            </w:r>
          </w:p>
        </w:tc>
        <w:tc>
          <w:tcPr>
            <w:tcW w:w="2116" w:type="dxa"/>
            <w:vAlign w:val="center"/>
            <w:hideMark/>
          </w:tcPr>
          <w:p w14:paraId="558104B9" w14:textId="77777777" w:rsidR="00A27197" w:rsidRPr="00A27197" w:rsidRDefault="00A27197" w:rsidP="00A2719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Columnas originales</w:t>
            </w:r>
          </w:p>
        </w:tc>
        <w:tc>
          <w:tcPr>
            <w:tcW w:w="2740" w:type="dxa"/>
            <w:vAlign w:val="center"/>
            <w:hideMark/>
          </w:tcPr>
          <w:p w14:paraId="519F1655" w14:textId="77777777" w:rsidR="00A27197" w:rsidRPr="00A27197" w:rsidRDefault="00A27197" w:rsidP="00A2719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Codificación utilizada</w:t>
            </w:r>
          </w:p>
        </w:tc>
        <w:tc>
          <w:tcPr>
            <w:tcW w:w="0" w:type="auto"/>
            <w:vAlign w:val="center"/>
            <w:hideMark/>
          </w:tcPr>
          <w:p w14:paraId="5F288EA6" w14:textId="77777777" w:rsidR="00A27197" w:rsidRPr="00A27197" w:rsidRDefault="00A27197" w:rsidP="00A2719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Vacíos y NA</w:t>
            </w:r>
          </w:p>
        </w:tc>
      </w:tr>
      <w:tr w:rsidR="00A27197" w:rsidRPr="00A27197" w14:paraId="61A641B4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DA83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Edad</w:t>
            </w:r>
          </w:p>
        </w:tc>
        <w:tc>
          <w:tcPr>
            <w:tcW w:w="2116" w:type="dxa"/>
            <w:vAlign w:val="center"/>
            <w:hideMark/>
          </w:tcPr>
          <w:p w14:paraId="0EAA82C6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edad</w:t>
            </w:r>
          </w:p>
        </w:tc>
        <w:tc>
          <w:tcPr>
            <w:tcW w:w="2740" w:type="dxa"/>
            <w:vAlign w:val="center"/>
            <w:hideMark/>
          </w:tcPr>
          <w:p w14:paraId="3E679C07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Cuatro grupos: &lt;50 —referencia—, 50–65, 66–75 y &gt;75 años. No se introduce como variable continua.</w:t>
            </w:r>
          </w:p>
        </w:tc>
        <w:tc>
          <w:tcPr>
            <w:tcW w:w="0" w:type="auto"/>
            <w:vAlign w:val="center"/>
            <w:hideMark/>
          </w:tcPr>
          <w:p w14:paraId="27D997EE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Se mantienen como NA.</w:t>
            </w:r>
          </w:p>
        </w:tc>
      </w:tr>
      <w:tr w:rsidR="00A27197" w:rsidRPr="00B13E6B" w14:paraId="0FEB7F40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71B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PRECOAG</w:t>
            </w:r>
          </w:p>
        </w:tc>
        <w:tc>
          <w:tcPr>
            <w:tcW w:w="2116" w:type="dxa"/>
            <w:vAlign w:val="center"/>
            <w:hideMark/>
          </w:tcPr>
          <w:p w14:paraId="4A9ED685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antiagregado</w:t>
            </w:r>
            <w:proofErr w:type="spellEnd"/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, </w:t>
            </w: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dicumarinicos</w:t>
            </w:r>
            <w:proofErr w:type="spellEnd"/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, </w:t>
            </w: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acod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4A98800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si cualquiera indica «sí». 0 únicamente si las tres indican «no».</w:t>
            </w:r>
          </w:p>
        </w:tc>
        <w:tc>
          <w:tcPr>
            <w:tcW w:w="0" w:type="auto"/>
            <w:vAlign w:val="center"/>
            <w:hideMark/>
          </w:tcPr>
          <w:p w14:paraId="5773C8CF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Si no hay ningún «sí» y falta alguna respuesta, queda NA. Un «sí» permite clasificar como 1 aunque falten las otras respuestas.</w:t>
            </w:r>
          </w:p>
        </w:tc>
      </w:tr>
      <w:tr w:rsidR="00A27197" w:rsidRPr="00B13E6B" w14:paraId="7AD422FD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69C1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Intubación prehospitalaria</w:t>
            </w:r>
          </w:p>
        </w:tc>
        <w:tc>
          <w:tcPr>
            <w:tcW w:w="2116" w:type="dxa"/>
            <w:vAlign w:val="center"/>
            <w:hideMark/>
          </w:tcPr>
          <w:p w14:paraId="5E4EF118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iot_prehospitalaria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158419B6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«sí» o «sí, con empleo de dispositivos de apoyo»; 0 para «no».</w:t>
            </w:r>
          </w:p>
        </w:tc>
        <w:tc>
          <w:tcPr>
            <w:tcW w:w="0" w:type="auto"/>
            <w:vAlign w:val="center"/>
            <w:hideMark/>
          </w:tcPr>
          <w:p w14:paraId="07DB157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o categorías no reconocidas quedan NA.</w:t>
            </w:r>
          </w:p>
        </w:tc>
      </w:tr>
      <w:tr w:rsidR="00A27197" w:rsidRPr="00B13E6B" w14:paraId="5FCC5393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F4829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Mecanismo de alto riesgo</w:t>
            </w:r>
          </w:p>
        </w:tc>
        <w:tc>
          <w:tcPr>
            <w:tcW w:w="2116" w:type="dxa"/>
            <w:vAlign w:val="center"/>
            <w:hideMark/>
          </w:tcPr>
          <w:p w14:paraId="7790174C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mecanismo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,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intencionalidad</w:t>
            </w:r>
          </w:p>
        </w:tc>
        <w:tc>
          <w:tcPr>
            <w:tcW w:w="2740" w:type="dxa"/>
            <w:vAlign w:val="center"/>
            <w:hideMark/>
          </w:tcPr>
          <w:p w14:paraId="6DDAA69B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arma de fuego, atropello, caída accidental, mecanismo desconocido o precipitación autolítica. Los demás mecanismos registrados se codifican como 0.</w:t>
            </w:r>
          </w:p>
        </w:tc>
        <w:tc>
          <w:tcPr>
            <w:tcW w:w="0" w:type="auto"/>
            <w:vAlign w:val="center"/>
            <w:hideMark/>
          </w:tcPr>
          <w:p w14:paraId="78368D01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Mecanismo vacío → NA. Precipitación sin intencionalidad → NA. </w:t>
            </w: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«Desconocido» no es NA: se codifica como alto riesgo.</w:t>
            </w:r>
          </w:p>
        </w:tc>
      </w:tr>
      <w:tr w:rsidR="00A27197" w:rsidRPr="00B13E6B" w14:paraId="3003F095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F241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Pupilas</w:t>
            </w:r>
          </w:p>
        </w:tc>
        <w:tc>
          <w:tcPr>
            <w:tcW w:w="2116" w:type="dxa"/>
            <w:vAlign w:val="center"/>
            <w:hideMark/>
          </w:tcPr>
          <w:p w14:paraId="26095417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pupilas_ingreso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4EEBAAE1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Normal —referencia—, midriasis unilateral y bilateral.</w:t>
            </w:r>
          </w:p>
        </w:tc>
        <w:tc>
          <w:tcPr>
            <w:tcW w:w="0" w:type="auto"/>
            <w:vAlign w:val="center"/>
            <w:hideMark/>
          </w:tcPr>
          <w:p w14:paraId="4207603E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Vacíos, NA y categorías no reconocidas quedan NA. El código reconoce literalmente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 xml:space="preserve">midriasis </w:t>
            </w: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bilatera</w:t>
            </w:r>
            <w:proofErr w:type="spellEnd"/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 como bilateral.</w:t>
            </w:r>
          </w:p>
        </w:tc>
      </w:tr>
      <w:tr w:rsidR="00A27197" w:rsidRPr="00B13E6B" w14:paraId="2F094BE1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1579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GCS ≤8</w:t>
            </w:r>
          </w:p>
        </w:tc>
        <w:tc>
          <w:tcPr>
            <w:tcW w:w="2116" w:type="dxa"/>
            <w:vAlign w:val="center"/>
            <w:hideMark/>
          </w:tcPr>
          <w:p w14:paraId="59FA6FC2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gcs_total_introducido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779E43E2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si GCS ≤8; 0 si &gt;8. No se introduce el GCS continuo ni se reconstruye a partir de sus componentes.</w:t>
            </w:r>
          </w:p>
        </w:tc>
        <w:tc>
          <w:tcPr>
            <w:tcW w:w="0" w:type="auto"/>
            <w:vAlign w:val="center"/>
            <w:hideMark/>
          </w:tcPr>
          <w:p w14:paraId="0D9F3036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valores no convertibles a número quedan NA.</w:t>
            </w:r>
          </w:p>
        </w:tc>
      </w:tr>
      <w:tr w:rsidR="00A27197" w:rsidRPr="00B13E6B" w14:paraId="4C17D544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0BC6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MAIS-Head</w:t>
            </w:r>
          </w:p>
        </w:tc>
        <w:tc>
          <w:tcPr>
            <w:tcW w:w="2116" w:type="dxa"/>
            <w:vAlign w:val="center"/>
            <w:hideMark/>
          </w:tcPr>
          <w:p w14:paraId="2139523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mais1</w:t>
            </w:r>
          </w:p>
        </w:tc>
        <w:tc>
          <w:tcPr>
            <w:tcW w:w="2740" w:type="dxa"/>
            <w:vAlign w:val="center"/>
            <w:hideMark/>
          </w:tcPr>
          <w:p w14:paraId="2F14507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si el valor es ≥3; 0 si es 0–2.</w:t>
            </w:r>
          </w:p>
        </w:tc>
        <w:tc>
          <w:tcPr>
            <w:tcW w:w="0" w:type="auto"/>
            <w:vAlign w:val="center"/>
            <w:hideMark/>
          </w:tcPr>
          <w:p w14:paraId="3960A7F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Vacíos, NA y textos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NA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/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NAS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 se sustituyen por 0. Valores inesperados o distintos de los enteros 0–6 quedan NA.</w:t>
            </w:r>
          </w:p>
        </w:tc>
      </w:tr>
      <w:tr w:rsidR="00A27197" w:rsidRPr="00B13E6B" w14:paraId="75B2310E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D7030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lastRenderedPageBreak/>
              <w:t>MAIS-</w:t>
            </w:r>
            <w:proofErr w:type="spellStart"/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Thorax</w:t>
            </w:r>
            <w:proofErr w:type="spellEnd"/>
          </w:p>
        </w:tc>
        <w:tc>
          <w:tcPr>
            <w:tcW w:w="2116" w:type="dxa"/>
            <w:vAlign w:val="center"/>
            <w:hideMark/>
          </w:tcPr>
          <w:p w14:paraId="20A5BD27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mais3</w:t>
            </w:r>
          </w:p>
        </w:tc>
        <w:tc>
          <w:tcPr>
            <w:tcW w:w="2740" w:type="dxa"/>
            <w:vAlign w:val="center"/>
            <w:hideMark/>
          </w:tcPr>
          <w:p w14:paraId="1156413C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si el valor es ≥3; 0 si es 0–2.</w:t>
            </w:r>
          </w:p>
        </w:tc>
        <w:tc>
          <w:tcPr>
            <w:tcW w:w="0" w:type="auto"/>
            <w:vAlign w:val="center"/>
            <w:hideMark/>
          </w:tcPr>
          <w:p w14:paraId="351159E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Mismo tratamiento que MAIS-Head.</w:t>
            </w:r>
          </w:p>
        </w:tc>
      </w:tr>
      <w:tr w:rsidR="00A27197" w:rsidRPr="00B13E6B" w14:paraId="620AE505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0CCE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Fallo hemodinámico</w:t>
            </w:r>
          </w:p>
        </w:tc>
        <w:tc>
          <w:tcPr>
            <w:tcW w:w="2116" w:type="dxa"/>
            <w:vAlign w:val="center"/>
            <w:hideMark/>
          </w:tcPr>
          <w:p w14:paraId="2F910266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situacion_hemodinamica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6915C60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«shock» o «shock refractario»; 0 para «estable» o «inestable remonta con volumen».</w:t>
            </w:r>
          </w:p>
        </w:tc>
        <w:tc>
          <w:tcPr>
            <w:tcW w:w="0" w:type="auto"/>
            <w:vAlign w:val="center"/>
            <w:hideMark/>
          </w:tcPr>
          <w:p w14:paraId="035B5650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categorías no reconocidas quedan NA.</w:t>
            </w:r>
          </w:p>
        </w:tc>
      </w:tr>
      <w:tr w:rsidR="00A27197" w:rsidRPr="00B13E6B" w14:paraId="69B8F1A4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0E63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Fallo respiratorio</w:t>
            </w:r>
          </w:p>
        </w:tc>
        <w:tc>
          <w:tcPr>
            <w:tcW w:w="2116" w:type="dxa"/>
            <w:vAlign w:val="center"/>
            <w:hideMark/>
          </w:tcPr>
          <w:p w14:paraId="588D311C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adrs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3BA1EA8B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1 para las categorías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&lt;100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 y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101-200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; 0 para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no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,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201 -300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 xml:space="preserve"> y </w:t>
            </w:r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&gt; 300</w:t>
            </w: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DAFBB80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categorías no reconocidas quedan NA.</w:t>
            </w:r>
          </w:p>
        </w:tc>
      </w:tr>
      <w:tr w:rsidR="00A27197" w:rsidRPr="00B13E6B" w14:paraId="3749618D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201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Coagulopatía</w:t>
            </w:r>
          </w:p>
        </w:tc>
        <w:tc>
          <w:tcPr>
            <w:tcW w:w="2116" w:type="dxa"/>
            <w:vAlign w:val="center"/>
            <w:hideMark/>
          </w:tcPr>
          <w:p w14:paraId="66AB8B7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coagulopatia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5E1338F6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«sí»; 0 para «no». Se utiliza el indicador registrado, sin reconstruirlo con las analíticas.</w:t>
            </w:r>
          </w:p>
        </w:tc>
        <w:tc>
          <w:tcPr>
            <w:tcW w:w="0" w:type="auto"/>
            <w:vAlign w:val="center"/>
            <w:hideMark/>
          </w:tcPr>
          <w:p w14:paraId="227D2D8E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categorías no reconocidas quedan NA.</w:t>
            </w:r>
          </w:p>
        </w:tc>
      </w:tr>
      <w:tr w:rsidR="00A27197" w:rsidRPr="00B13E6B" w14:paraId="00C192FB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02435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Ventilación mecánica</w:t>
            </w:r>
          </w:p>
        </w:tc>
        <w:tc>
          <w:tcPr>
            <w:tcW w:w="2116" w:type="dxa"/>
            <w:vAlign w:val="center"/>
            <w:hideMark/>
          </w:tcPr>
          <w:p w14:paraId="72E9D1C1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vmec_dico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0F20C46A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«sí»; 0 para «no».</w:t>
            </w:r>
          </w:p>
        </w:tc>
        <w:tc>
          <w:tcPr>
            <w:tcW w:w="0" w:type="auto"/>
            <w:vAlign w:val="center"/>
            <w:hideMark/>
          </w:tcPr>
          <w:p w14:paraId="771BCE2D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categorías no reconocidas quedan NA.</w:t>
            </w:r>
          </w:p>
        </w:tc>
      </w:tr>
      <w:tr w:rsidR="00A27197" w:rsidRPr="00B13E6B" w14:paraId="3A982765" w14:textId="77777777" w:rsidTr="00A271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059C3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Hemorragia masiva</w:t>
            </w:r>
          </w:p>
        </w:tc>
        <w:tc>
          <w:tcPr>
            <w:tcW w:w="2116" w:type="dxa"/>
            <w:vAlign w:val="center"/>
            <w:hideMark/>
          </w:tcPr>
          <w:p w14:paraId="62F0589E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proofErr w:type="spellStart"/>
            <w:r w:rsidRPr="00A27197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hemorragia_masiva</w:t>
            </w:r>
            <w:proofErr w:type="spellEnd"/>
          </w:p>
        </w:tc>
        <w:tc>
          <w:tcPr>
            <w:tcW w:w="2740" w:type="dxa"/>
            <w:vAlign w:val="center"/>
            <w:hideMark/>
          </w:tcPr>
          <w:p w14:paraId="39849561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1 para «sí»; 0 para «no». Se utiliza este indicador, no una variable específica de activación del protocolo transfusional.</w:t>
            </w:r>
          </w:p>
        </w:tc>
        <w:tc>
          <w:tcPr>
            <w:tcW w:w="0" w:type="auto"/>
            <w:vAlign w:val="center"/>
            <w:hideMark/>
          </w:tcPr>
          <w:p w14:paraId="2E6382A8" w14:textId="77777777" w:rsidR="00A27197" w:rsidRPr="00A27197" w:rsidRDefault="00A27197" w:rsidP="00A27197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A27197">
              <w:rPr>
                <w:rFonts w:eastAsia="Times New Roman" w:cstheme="minorHAnsi"/>
                <w:lang w:val="es-ES" w:eastAsia="es-ES"/>
                <w14:ligatures w14:val="none"/>
              </w:rPr>
              <w:t>Vacíos, NA y categorías no reconocidas quedan NA.</w:t>
            </w:r>
          </w:p>
        </w:tc>
      </w:tr>
    </w:tbl>
    <w:p w14:paraId="08BD019B" w14:textId="77777777" w:rsidR="00615C64" w:rsidRDefault="00615C64" w:rsidP="00A27197">
      <w:pPr>
        <w:rPr>
          <w:lang w:val="es-ES"/>
        </w:rPr>
      </w:pPr>
    </w:p>
    <w:p w14:paraId="38B1A136" w14:textId="77777777" w:rsidR="00B13E6B" w:rsidRDefault="00B13E6B" w:rsidP="00A27197">
      <w:pPr>
        <w:rPr>
          <w:lang w:val="es-ES"/>
        </w:rPr>
      </w:pPr>
    </w:p>
    <w:p w14:paraId="547B08AD" w14:textId="77777777" w:rsidR="00B13E6B" w:rsidRDefault="00B13E6B" w:rsidP="00A27197">
      <w:pPr>
        <w:rPr>
          <w:lang w:val="es-ES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1"/>
        <w:gridCol w:w="3837"/>
      </w:tblGrid>
      <w:tr w:rsidR="00B13E6B" w:rsidRPr="00B13E6B" w14:paraId="562C8DBB" w14:textId="77777777" w:rsidTr="00B13E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A8668" w14:textId="77777777" w:rsidR="00B13E6B" w:rsidRPr="00B13E6B" w:rsidRDefault="00B13E6B" w:rsidP="00B13E6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Situación</w:t>
            </w:r>
          </w:p>
        </w:tc>
        <w:tc>
          <w:tcPr>
            <w:tcW w:w="0" w:type="auto"/>
            <w:vAlign w:val="center"/>
            <w:hideMark/>
          </w:tcPr>
          <w:p w14:paraId="5A930B7D" w14:textId="77777777" w:rsidR="00B13E6B" w:rsidRPr="00B13E6B" w:rsidRDefault="00B13E6B" w:rsidP="00B13E6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b/>
                <w:bCs/>
                <w:lang w:val="es-ES" w:eastAsia="es-ES"/>
                <w14:ligatures w14:val="none"/>
              </w:rPr>
              <w:t>Tratamiento actual</w:t>
            </w:r>
          </w:p>
        </w:tc>
      </w:tr>
      <w:tr w:rsidR="00B13E6B" w:rsidRPr="00B13E6B" w14:paraId="6AAEDF35" w14:textId="77777777" w:rsidTr="00B13E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6182D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 xml:space="preserve">Traslado con </w:t>
            </w:r>
            <w:proofErr w:type="spellStart"/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evolucion_hospitalaria</w:t>
            </w:r>
            <w:proofErr w:type="spellEnd"/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 xml:space="preserve"> = "alta"</w:t>
            </w:r>
          </w:p>
        </w:tc>
        <w:tc>
          <w:tcPr>
            <w:tcW w:w="0" w:type="auto"/>
            <w:vAlign w:val="center"/>
            <w:hideMark/>
          </w:tcPr>
          <w:p w14:paraId="4A1A36A3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Se incluye como superviviente a 30 días (</w:t>
            </w:r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0</w:t>
            </w: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).</w:t>
            </w:r>
          </w:p>
        </w:tc>
      </w:tr>
      <w:tr w:rsidR="00B13E6B" w:rsidRPr="00B13E6B" w14:paraId="7FD4350E" w14:textId="77777777" w:rsidTr="00B13E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5E5D8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Alta/traslado de UCI con evolución hospitalaria vacía y sin fallecimiento registrado</w:t>
            </w:r>
          </w:p>
        </w:tc>
        <w:tc>
          <w:tcPr>
            <w:tcW w:w="0" w:type="auto"/>
            <w:vAlign w:val="center"/>
            <w:hideMark/>
          </w:tcPr>
          <w:p w14:paraId="4A3F7765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Mortalidad desconocida (</w:t>
            </w:r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NA</w:t>
            </w: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): se excluye de la cohorte.</w:t>
            </w:r>
          </w:p>
        </w:tc>
      </w:tr>
      <w:tr w:rsidR="00B13E6B" w:rsidRPr="00B13E6B" w14:paraId="58F91A6F" w14:textId="77777777" w:rsidTr="00B13E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45259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Fallecimiento registrado en UCI u hospital</w:t>
            </w:r>
          </w:p>
        </w:tc>
        <w:tc>
          <w:tcPr>
            <w:tcW w:w="0" w:type="auto"/>
            <w:vAlign w:val="center"/>
            <w:hideMark/>
          </w:tcPr>
          <w:p w14:paraId="3FD7E857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 xml:space="preserve">Se clasifica según la fecha: hasta 30 días → </w:t>
            </w:r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1</w:t>
            </w: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 xml:space="preserve">; después → </w:t>
            </w:r>
            <w:r w:rsidRPr="00B13E6B">
              <w:rPr>
                <w:rFonts w:eastAsia="Times New Roman" w:cstheme="minorHAnsi"/>
                <w:sz w:val="20"/>
                <w:szCs w:val="20"/>
                <w:lang w:val="es-ES" w:eastAsia="es-ES"/>
                <w14:ligatures w14:val="none"/>
              </w:rPr>
              <w:t>0</w:t>
            </w: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.</w:t>
            </w:r>
          </w:p>
        </w:tc>
      </w:tr>
      <w:tr w:rsidR="00B13E6B" w:rsidRPr="00B13E6B" w14:paraId="774706CC" w14:textId="77777777" w:rsidTr="00B13E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80371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Fallecimiento sin fecha válida</w:t>
            </w:r>
          </w:p>
        </w:tc>
        <w:tc>
          <w:tcPr>
            <w:tcW w:w="0" w:type="auto"/>
            <w:vAlign w:val="center"/>
            <w:hideMark/>
          </w:tcPr>
          <w:p w14:paraId="0228EE35" w14:textId="77777777" w:rsidR="00B13E6B" w:rsidRPr="00B13E6B" w:rsidRDefault="00B13E6B" w:rsidP="00B13E6B">
            <w:pPr>
              <w:spacing w:after="0" w:line="240" w:lineRule="auto"/>
              <w:rPr>
                <w:rFonts w:eastAsia="Times New Roman" w:cstheme="minorHAnsi"/>
                <w:lang w:val="es-ES" w:eastAsia="es-ES"/>
                <w14:ligatures w14:val="none"/>
              </w:rPr>
            </w:pPr>
            <w:r w:rsidRPr="00B13E6B">
              <w:rPr>
                <w:rFonts w:eastAsia="Times New Roman" w:cstheme="minorHAnsi"/>
                <w:lang w:val="es-ES" w:eastAsia="es-ES"/>
                <w14:ligatures w14:val="none"/>
              </w:rPr>
              <w:t>Se excluye de la regresión por desenlace a 30 días desconocido.</w:t>
            </w:r>
          </w:p>
        </w:tc>
      </w:tr>
    </w:tbl>
    <w:p w14:paraId="59BDF7A5" w14:textId="77777777" w:rsidR="00B13E6B" w:rsidRPr="00A27197" w:rsidRDefault="00B13E6B" w:rsidP="00A27197">
      <w:pPr>
        <w:rPr>
          <w:lang w:val="es-ES"/>
        </w:rPr>
      </w:pPr>
    </w:p>
    <w:sectPr w:rsidR="00B13E6B" w:rsidRPr="00A27197" w:rsidSect="00E6383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A2118"/>
    <w:multiLevelType w:val="hybridMultilevel"/>
    <w:tmpl w:val="B4A0D6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6331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8A7"/>
    <w:rsid w:val="00083CAF"/>
    <w:rsid w:val="0018308D"/>
    <w:rsid w:val="00290807"/>
    <w:rsid w:val="003F7467"/>
    <w:rsid w:val="00420DF0"/>
    <w:rsid w:val="00461004"/>
    <w:rsid w:val="004F6748"/>
    <w:rsid w:val="005F11F8"/>
    <w:rsid w:val="00615C64"/>
    <w:rsid w:val="008C167A"/>
    <w:rsid w:val="009338A7"/>
    <w:rsid w:val="00947261"/>
    <w:rsid w:val="00A27197"/>
    <w:rsid w:val="00B13E6B"/>
    <w:rsid w:val="00B664E2"/>
    <w:rsid w:val="00D2411D"/>
    <w:rsid w:val="00E63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0E6D7"/>
  <w15:chartTrackingRefBased/>
  <w15:docId w15:val="{F6B448C2-1EEB-4B3F-B6CC-CB6577B23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8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8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8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8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8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8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8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8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8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8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8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8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8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8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8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8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8A7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2719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71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438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Candela Arruga Moreno</dc:creator>
  <cp:keywords/>
  <dc:description/>
  <cp:lastModifiedBy>Candela Arruga Moreno</cp:lastModifiedBy>
  <cp:revision>4</cp:revision>
  <dcterms:created xsi:type="dcterms:W3CDTF">2026-07-28T09:11:00Z</dcterms:created>
  <dcterms:modified xsi:type="dcterms:W3CDTF">2026-09-03T10:29:00Z</dcterms:modified>
</cp:coreProperties>
</file>