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ptos Display" w:hAnsi="Aptos Display" w:eastAsia="Aptos Display"/>
        </w:rPr>
        <w:t>ShopFlow Database Analytics Project</w:t>
      </w:r>
    </w:p>
    <w:p>
      <w:pPr>
        <w:pStyle w:val="Subtitle"/>
        <w:pBdr>
          <w:bottom w:val="single" w:sz="12" w:space="6" w:color="0E6A84"/>
        </w:pBdr>
      </w:pPr>
      <w:r>
        <w:rPr>
          <w:rFonts w:ascii="Aptos" w:hAnsi="Aptos" w:eastAsia="Aptos"/>
        </w:rPr>
        <w:t>Student Checklist | Fall 2026 | 100 points | optional 10 bonus points</w:t>
      </w:r>
    </w:p>
    <w:p>
      <w:pPr>
        <w:shd w:fill="E7F3F6"/>
        <w:pBdr>
          <w:left w:val="single" w:sz="18" w:space="8" w:color="084C61"/>
        </w:pBdr>
        <w:ind w:left="180" w:right="120"/>
        <w:spacing w:before="120" w:after="120"/>
      </w:pPr>
      <w:r>
        <w:rPr>
          <w:rFonts w:ascii="Aptos" w:hAnsi="Aptos" w:eastAsia="Aptos"/>
          <w:b/>
          <w:color w:val="084C61"/>
        </w:rPr>
        <w:t xml:space="preserve">Use this checklist with the worksheet: </w:t>
      </w:r>
      <w:r>
        <w:rPr>
          <w:rFonts w:ascii="Aptos" w:hAnsi="Aptos" w:eastAsia="Aptos"/>
        </w:rPr>
        <w:t>The public website retrieves realistic, instructor-provided fictional data through a server-side API. The browser never connects directly to MySQL.</w:t>
      </w:r>
    </w:p>
    <w:p>
      <w:pPr>
        <w:pStyle w:val="Heading1"/>
      </w:pPr>
      <w:r>
        <w:rPr>
          <w:rFonts w:ascii="Aptos Display" w:hAnsi="Aptos Display" w:eastAsia="Aptos Display"/>
        </w:rPr>
        <w:t>Project setup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Aiven free-tier account available; I understand that the assigned cloud provider and region may vary.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Google account and Google Colab available.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All seven instructor CSV files downloaded.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GitHub account and public project repository created.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Netlify account connected to the correct ShopFlow repository.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AI assistant selected for documented drafting, explanation, and debugging support.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I understand that no passwords, tokens, connection strings, or private environment values may appear in AI chats, notebooks, screenshots, PDFs, GitHub, or the public site.</w:t>
      </w:r>
    </w:p>
    <w:p>
      <w:pPr>
        <w:pStyle w:val="Heading1"/>
      </w:pPr>
      <w:r>
        <w:rPr>
          <w:rFonts w:ascii="Aptos Display" w:hAnsi="Aptos Display" w:eastAsia="Aptos Display"/>
        </w:rPr>
        <w:t>Week 1 - Setup, data flow, and schema (25 points)</w:t>
      </w:r>
    </w:p>
    <w:p>
      <w:pPr>
        <w:pStyle w:val="Heading2"/>
      </w:pPr>
      <w:r>
        <w:rPr>
          <w:rFonts w:ascii="Aptos Display" w:hAnsi="Aptos Display" w:eastAsia="Aptos Display"/>
        </w:rPr>
        <w:t>Secure setup and data flow (10 points)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Deployed an Aiven free-tier MySQL 8.4 LTS service.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Created and selected the shopflow database.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Stored Aiven connection values in Colab Secrets; nothing is hardcoded or printed.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Connected securely from Colab with TLS and helpful error handling.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Verified SELECT VERSION() and SELECT DATABASE().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Can explain: browser -&gt; Netlify site -&gt; Netlify Function -&gt; shopflow_reader -&gt; MySQL -&gt; JSON -&gt; page.</w:t>
      </w:r>
    </w:p>
    <w:p>
      <w:pPr>
        <w:pStyle w:val="Heading2"/>
      </w:pPr>
      <w:r>
        <w:rPr>
          <w:rFonts w:ascii="Aptos Display" w:hAnsi="Aptos Display" w:eastAsia="Aptos Display"/>
        </w:rPr>
        <w:t>Schema and ERD (15 points)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Mapped all seven CSV files to the seven canonical tables; product_reviews.csv loads to reviews.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Created a readable ERD with all primary keys, foreign keys, and eight relationships.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Used appropriate data types, required/optional NULL rules, and constraints.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Created all seven tables in shopflow.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Created a concise data dictionary.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Justified indexes that support foreign keys or frequently used joins/filters.</w:t>
      </w:r>
    </w:p>
    <w:p>
      <w:pPr>
        <w:pStyle w:val="Heading2"/>
      </w:pPr>
      <w:r>
        <w:rPr>
          <w:rFonts w:ascii="Aptos Display" w:hAnsi="Aptos Display" w:eastAsia="Aptos Display"/>
        </w:rPr>
        <w:t>Week 1 targeted evidence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Screenshot 1: Aiven service running; no credentials or complete connection details visible.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Screenshot 2: Colab verification query showing MySQL version and shopflow; no secrets visible.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Screenshot 3: Final readable ERD.</w:t>
      </w:r>
    </w:p>
    <w:p>
      <w:pPr>
        <w:pStyle w:val="Heading1"/>
      </w:pPr>
      <w:r>
        <w:rPr>
          <w:rFonts w:ascii="Aptos Display" w:hAnsi="Aptos Display" w:eastAsia="Aptos Display"/>
        </w:rPr>
        <w:t>Week 2 - Clean, load, validate, query, and visualize (55 points)</w:t>
      </w:r>
    </w:p>
    <w:p>
      <w:pPr>
        <w:pStyle w:val="Heading2"/>
      </w:pPr>
      <w:r>
        <w:rPr>
          <w:rFonts w:ascii="Aptos Display" w:hAnsi="Aptos Display" w:eastAsia="Aptos Display"/>
        </w:rPr>
        <w:t>Cleaning, loading, and validation (20 points)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Profiled each CSV before changing or loading data.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Documented the cleaning rule for each selected issue and preserved raw values.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Did not invent replacement dates, phone numbers, emails, or other values.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Converted only documented NULL placeholders and boolean values.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Standardized valid phone/email values and flagged unresolved values.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Validated parent keys and created orphan reports before loading child tables.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Loaded parents first: customers and products before dependent records.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Verified source, loaded, rejected/quarantined, duplicate, NULL, and orphan counts.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Calculated at least one independent control total.</w:t>
      </w:r>
    </w:p>
    <w:p>
      <w:pPr>
        <w:pStyle w:val="Heading2"/>
      </w:pPr>
      <w:r>
        <w:rPr>
          <w:rFonts w:ascii="Aptos Display" w:hAnsi="Aptos Display" w:eastAsia="Aptos Display"/>
        </w:rPr>
        <w:t>SQL and business reasoning (25 points)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Completed all 10 required business queries.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Each query includes the question, SQL, visible result, logic explanation, and business interpretation.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Used joins, aggregation, CASE, dates, HAVING, subqueries/CTEs, and a self-join where required.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Checked query grain so one-to-many joins do not multiply revenue or counts.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Compared important metrics with an independent control total.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Used the same metric definitions in SQL, charts, notebook conclusions, and website.</w:t>
      </w:r>
    </w:p>
    <w:p>
      <w:pPr>
        <w:pStyle w:val="Heading2"/>
      </w:pPr>
      <w:r>
        <w:rPr>
          <w:rFonts w:ascii="Aptos Display" w:hAnsi="Aptos Display" w:eastAsia="Aptos Display"/>
        </w:rPr>
        <w:t>Interactive visualizations (10 points)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Created five interactive charts: pie/donut, bar, line, heatmap, and sunburst or another justified advanced view.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Every chart has a descriptive title, readable labels/units, hover interaction, and a stated source query.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Added a one- or two-sentence business takeaway for each chart.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Created a compact KPI summary using the same verified metric definitions.</w:t>
      </w:r>
    </w:p>
    <w:p>
      <w:pPr>
        <w:pStyle w:val="Heading2"/>
      </w:pPr>
      <w:r>
        <w:rPr>
          <w:rFonts w:ascii="Aptos Display" w:hAnsi="Aptos Display" w:eastAsia="Aptos Display"/>
        </w:rPr>
        <w:t>Week 2 targeted evidence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Screenshot 4: Combined before/after cleaning sample and final validation summary.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Screenshot 5: Representative SQL query, visible result, and interpretation.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Notebook contains all 10 query results and all 5 interactive charts; duplicate screenshots are not required.</w:t>
      </w:r>
    </w:p>
    <w:p>
      <w:pPr>
        <w:pStyle w:val="Heading1"/>
      </w:pPr>
      <w:r>
        <w:rPr>
          <w:rFonts w:ascii="Aptos Display" w:hAnsi="Aptos Display" w:eastAsia="Aptos Display"/>
        </w:rPr>
        <w:t>Week 3 - Website, API, AI evidence, and reflection (20 points)</w:t>
      </w:r>
    </w:p>
    <w:p>
      <w:pPr>
        <w:pStyle w:val="Heading2"/>
      </w:pPr>
      <w:r>
        <w:rPr>
          <w:rFonts w:ascii="Aptos Display" w:hAnsi="Aptos Display" w:eastAsia="Aptos Display"/>
        </w:rPr>
        <w:t>Public website and server-side API (10 points)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Created shopflow_reader and granted SELECT on shopflow.* only.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Verified SELECT succeeds and INSERT fails for shopflow_reader.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Placed database connection values in Netlify environment variables, not client-side code or GitHub.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Browser code calls a same-origin /.netlify/functions/... path.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Netlify Function uses parameterized queries for user-provided input.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Public website identifies the course/project and the data as realistic, instructor-provided, and fictional.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Product browsing/search and selected analytics load through the server-side API.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Tested normal, empty, and invalid requests and reviewed function logs/Network responses.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Public GitHub repository includes a complete README without secrets.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Live Netlify site works in a signed-out/private browser window.</w:t>
      </w:r>
    </w:p>
    <w:p>
      <w:pPr>
        <w:pStyle w:val="Heading2"/>
      </w:pPr>
      <w:r>
        <w:rPr>
          <w:rFonts w:ascii="Aptos Display" w:hAnsi="Aptos Display" w:eastAsia="Aptos Display"/>
        </w:rPr>
        <w:t>AI testing, documentation, and reflection (10 points)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Created three AI evidence cards.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Each card records task/prompt, prediction, test/evidence, correction/decision, and lesson.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Documented the AI tool, date, purpose, output used, testing performed, and modifications made.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Wrote an approximately 500-word structured reflection in my own words.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Discussed successful prompting, a debugging/correction journey, concepts learned, and AI/human balance.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Can explain the data flow, schema decisions, cleaning work, and selected queries.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AI-produced drafts were tested, corrected, documented, and understood before submission.</w:t>
      </w:r>
    </w:p>
    <w:p>
      <w:pPr>
        <w:pStyle w:val="Heading2"/>
      </w:pPr>
      <w:r>
        <w:rPr>
          <w:rFonts w:ascii="Aptos Display" w:hAnsi="Aptos Display" w:eastAsia="Aptos Display"/>
        </w:rPr>
        <w:t>Week 3 targeted evidence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Screenshot 6: Live website plus browser Network panel or API response.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Screenshot 7: shopflow_reader SELECT success and INSERT denial; password/connection string hidden.</w:t>
      </w:r>
    </w:p>
    <w:p>
      <w:pPr>
        <w:pStyle w:val="Heading1"/>
      </w:pPr>
      <w:r>
        <w:rPr>
          <w:rFonts w:ascii="Aptos Display" w:hAnsi="Aptos Display" w:eastAsia="Aptos Display"/>
        </w:rPr>
        <w:t>Final submission package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Colab notebook link is shared, fully executed, and readable.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PDF includes ERD, validation summary, business conclusions, seven targeted screenshots, three AI evidence cards, and 500-word reflection.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GitHub repository is public and contains all required website/function files plus README.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Netlify site URL is public and operational.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All 10 required SQL queries work and include explanations/interpretations.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All 5 required visualizations are interactive and clearly labeled.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Every screenshot is legible, captioned, and free of secrets.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No credentials, tokens, connection strings, certificates, environment values, or real personal data appear in submitted/public materials.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All links were tested from a private/signed-out browser window.</w:t>
      </w:r>
    </w:p>
    <w:p>
      <w:pPr>
        <w:pStyle w:val="Heading1"/>
      </w:pPr>
      <w:r>
        <w:rPr>
          <w:rFonts w:ascii="Aptos Display" w:hAnsi="Aptos Display" w:eastAsia="Aptos Display"/>
        </w:rPr>
        <w:t>Point breakdown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800"/>
        <w:gridCol w:w="1560"/>
      </w:tblGrid>
      <w:tr>
        <w:trPr>
          <w:tblHeader w:val="true"/>
          <w:cantSplit/>
        </w:trPr>
        <w:tc>
          <w:tcPr>
            <w:tcW w:type="dxa" w:w="7800"/>
            <w:shd w:fill="084C6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b/>
                <w:color w:val="FFFFFF"/>
                <w:sz w:val="19"/>
              </w:rPr>
              <w:t>Area</w:t>
            </w:r>
          </w:p>
        </w:tc>
        <w:tc>
          <w:tcPr>
            <w:tcW w:type="dxa" w:w="1560"/>
            <w:shd w:fill="084C6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b/>
                <w:color w:val="FFFFFF"/>
                <w:sz w:val="19"/>
              </w:rPr>
              <w:t>Points</w:t>
            </w:r>
          </w:p>
        </w:tc>
      </w:tr>
      <w:tr>
        <w:trPr>
          <w:cantSplit/>
        </w:trPr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Secure setup and data flow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7800"/>
            <w:shd w:fill="F4F7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Schema and ERD</w:t>
            </w:r>
          </w:p>
        </w:tc>
        <w:tc>
          <w:tcPr>
            <w:tcW w:type="dxa" w:w="1560"/>
            <w:shd w:fill="F4F7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Cleaning, loading, and validation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20</w:t>
            </w:r>
          </w:p>
        </w:tc>
      </w:tr>
      <w:tr>
        <w:trPr>
          <w:cantSplit/>
        </w:trPr>
        <w:tc>
          <w:tcPr>
            <w:tcW w:type="dxa" w:w="7800"/>
            <w:shd w:fill="F4F7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SQL and business reasoning</w:t>
            </w:r>
          </w:p>
        </w:tc>
        <w:tc>
          <w:tcPr>
            <w:tcW w:type="dxa" w:w="1560"/>
            <w:shd w:fill="F4F7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25</w:t>
            </w:r>
          </w:p>
        </w:tc>
      </w:tr>
      <w:tr>
        <w:trPr>
          <w:cantSplit/>
        </w:trPr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Interactive visualizations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7800"/>
            <w:shd w:fill="F4F7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Website and server-side API</w:t>
            </w:r>
          </w:p>
        </w:tc>
        <w:tc>
          <w:tcPr>
            <w:tcW w:type="dxa" w:w="1560"/>
            <w:shd w:fill="F4F7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AI testing, documentation, and reflection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7800"/>
            <w:shd w:fill="F4F7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Total</w:t>
            </w:r>
          </w:p>
        </w:tc>
        <w:tc>
          <w:tcPr>
            <w:tcW w:type="dxa" w:w="1560"/>
            <w:shd w:fill="F4F7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 w:eastAsia="Aptos"/>
                <w:sz w:val="18"/>
              </w:rPr>
              <w:t>100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ptos Display" w:hAnsi="Aptos Display" w:eastAsia="Aptos Display"/>
        </w:rPr>
        <w:t>Optional production architecture extension (10 bonus points)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One-page architecture diagram clearly separates browser, API, database, and operational services.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Short rationale addresses pooling, monitoring/logging, backups/retention, recovery objectives, scaling/caching, and security controls.</w:t>
      </w:r>
    </w:p>
    <w:p>
      <w:pPr>
        <w:pStyle w:val="ChecklistItem"/>
      </w:pPr>
      <w:r>
        <w:rPr>
          <w:rFonts w:ascii="DejaVu Sans" w:hAnsi="DejaVu Sans" w:eastAsia="DejaVu Sans"/>
          <w:sz w:val="21"/>
        </w:rPr>
        <w:t xml:space="preserve">☐  </w:t>
      </w:r>
      <w:r>
        <w:rPr>
          <w:rFonts w:ascii="Aptos" w:hAnsi="Aptos" w:eastAsia="Aptos"/>
        </w:rPr>
        <w:t>Extension is clearly labeled optional; no production implementation is required.</w:t>
      </w:r>
    </w:p>
    <w:p>
      <w:pPr>
        <w:shd w:fill="FFF6D9"/>
        <w:pBdr>
          <w:left w:val="single" w:sz="18" w:space="8" w:color="9B6B00"/>
        </w:pBdr>
        <w:ind w:left="180" w:right="120"/>
        <w:spacing w:before="120" w:after="120"/>
      </w:pPr>
      <w:r>
        <w:rPr>
          <w:rFonts w:ascii="Aptos" w:hAnsi="Aptos" w:eastAsia="Aptos"/>
          <w:b/>
          <w:color w:val="9B6B00"/>
        </w:rPr>
        <w:t xml:space="preserve">Before submitting: </w:t>
      </w:r>
      <w:r>
        <w:rPr>
          <w:rFonts w:ascii="Aptos" w:hAnsi="Aptos" w:eastAsia="Aptos"/>
        </w:rPr>
        <w:t>AI may produce drafts, but you must test, correct, document, and explain every submitted result. If you cannot explain or verify an item, revise it before submission.</w:t>
      </w:r>
    </w:p>
    <w:sectPr w:rsidR="00FC693F" w:rsidRPr="0006063C" w:rsidSect="00034616">
      <w:headerReference w:type="default" r:id="rId9"/>
      <w:headerReference w:type="even" r:id="rId10"/>
      <w:headerReference w:type="first" r:id="rId11"/>
      <w:footerReference w:type="default" r:id="rId12"/>
      <w:pgSz w:w="12240" w:h="15840"/>
      <w:pgMar w:top="1123" w:right="1296" w:bottom="1037" w:left="1296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 w:eastAsia="Aptos"/>
        <w:color w:val="5B6B73"/>
        <w:sz w:val="18"/>
      </w:rPr>
      <w:t xml:space="preserve">Page </w:t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00" w:line="276" w:lineRule="auto"/>
    </w:pPr>
    <w:rPr>
      <w:rFonts w:ascii="Aptos" w:hAnsi="Aptos"/>
      <w:color w:val="18323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84C61"/>
      <w:sz w:val="3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E6A84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8323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0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084C61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40"/>
    </w:pPr>
    <w:rPr>
      <w:rFonts w:asciiTheme="majorHAnsi" w:eastAsiaTheme="majorEastAsia" w:hAnsiTheme="majorHAnsi" w:cstheme="majorBidi" w:ascii="Aptos" w:hAnsi="Aptos"/>
      <w:i/>
      <w:iCs/>
      <w:color w:val="5B6B73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60" w:line="269" w:lineRule="auto"/>
      <w:ind w:left="547" w:hanging="274"/>
      <w:contextualSpacing/>
    </w:pPr>
    <w:rPr>
      <w:rFonts w:ascii="Aptos" w:hAnsi="Aptos"/>
      <w:color w:val="18323D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widowControl/>
      <w:numPr>
        <w:numId w:val="2"/>
      </w:numPr>
      <w:spacing w:after="60" w:line="269" w:lineRule="auto"/>
      <w:ind w:left="1037" w:hanging="259"/>
      <w:contextualSpacing/>
    </w:pPr>
    <w:rPr>
      <w:rFonts w:ascii="Aptos" w:hAnsi="Aptos"/>
      <w:color w:val="18323D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60" w:line="269" w:lineRule="auto"/>
      <w:ind w:left="547" w:hanging="274"/>
      <w:contextualSpacing/>
    </w:pPr>
    <w:rPr>
      <w:rFonts w:ascii="Aptos" w:hAnsi="Aptos"/>
      <w:color w:val="18323D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 Note"/>
    <w:pPr>
      <w:spacing w:after="80" w:line="269" w:lineRule="auto"/>
    </w:pPr>
    <w:rPr>
      <w:rFonts w:ascii="Aptos" w:hAnsi="Aptos"/>
      <w:b w:val="0"/>
      <w:color w:val="5B6B73"/>
      <w:sz w:val="18"/>
    </w:rPr>
  </w:style>
  <w:style w:type="paragraph" w:customStyle="1" w:styleId="ChecklistItem">
    <w:name w:val="Checklist Item"/>
    <w:pPr>
      <w:spacing w:after="80" w:line="269" w:lineRule="auto"/>
      <w:ind w:left="403" w:hanging="403"/>
    </w:pPr>
    <w:rPr>
      <w:rFonts w:ascii="Aptos" w:hAnsi="Aptos"/>
      <w:b w:val="0"/>
      <w:color w:val="18323D"/>
      <w:sz w:val="20"/>
    </w:rPr>
  </w:style>
  <w:style w:type="paragraph" w:customStyle="1" w:styleId="Prompt">
    <w:name w:val="Prompt"/>
    <w:pPr>
      <w:spacing w:after="140" w:line="269" w:lineRule="auto" w:before="40"/>
      <w:ind w:left="346" w:right="173"/>
    </w:pPr>
    <w:rPr>
      <w:rFonts w:ascii="Aptos" w:hAnsi="Aptos"/>
      <w:b w:val="0"/>
      <w:color w:val="18323D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header" Target="header3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