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rPr>
          <w:sz w:val="56"/>
        </w:rPr>
        <w:t>Zimbabwe Tourism</w:t>
        <w:br/>
        <w:t>Destination Insights</w:t>
      </w:r>
    </w:p>
    <w:p/>
    <w:p>
      <w:pPr>
        <w:pStyle w:val="Subtitle"/>
        <w:jc w:val="center"/>
      </w:pPr>
      <w:r>
        <w:t>Data Experience Design and Storytelling using Tourism Destination Insights</w:t>
      </w:r>
    </w:p>
    <w:p/>
    <w:p/>
    <w:p/>
    <w:tbl>
      <w:tblPr>
        <w:tblW w:type="auto" w:w="0"/>
        <w:tblLook w:firstColumn="1" w:firstRow="1" w:lastColumn="0" w:lastRow="0" w:noHBand="0" w:noVBand="1" w:val="04A0"/>
      </w:tblPr>
      <w:tblGrid>
        <w:gridCol w:w="4680"/>
        <w:gridCol w:w="4680"/>
      </w:tblGrid>
      <w:tr>
        <w:tc>
          <w:tcPr>
            <w:tcW w:type="dxa" w:w="4680"/>
          </w:tcPr>
          <w:p>
            <w:pPr>
              <w:jc w:val="left"/>
            </w:pPr>
            <w:r>
              <w:rPr>
                <w:rFonts w:ascii="Arial" w:hAnsi="Arial"/>
                <w:b/>
                <w:sz w:val="22"/>
              </w:rPr>
              <w:t>Track</w:t>
            </w:r>
          </w:p>
        </w:tc>
        <w:tc>
          <w:tcPr>
            <w:tcW w:type="dxa" w:w="4680"/>
          </w:tcPr>
          <w:p>
            <w:pPr>
              <w:jc w:val="left"/>
            </w:pPr>
            <w:r>
              <w:rPr>
                <w:rFonts w:ascii="Arial" w:hAnsi="Arial"/>
                <w:sz w:val="22"/>
              </w:rPr>
              <w:t>Track 2: Design</w:t>
            </w:r>
          </w:p>
        </w:tc>
      </w:tr>
      <w:tr>
        <w:tc>
          <w:tcPr>
            <w:tcW w:type="dxa" w:w="4680"/>
          </w:tcPr>
          <w:p>
            <w:pPr>
              <w:jc w:val="left"/>
            </w:pPr>
            <w:r>
              <w:rPr>
                <w:rFonts w:ascii="Arial" w:hAnsi="Arial"/>
                <w:b/>
                <w:sz w:val="22"/>
              </w:rPr>
              <w:t>Team Name</w:t>
            </w:r>
          </w:p>
        </w:tc>
        <w:tc>
          <w:tcPr>
            <w:tcW w:type="dxa" w:w="4680"/>
          </w:tcPr>
          <w:p>
            <w:pPr>
              <w:jc w:val="left"/>
            </w:pPr>
            <w:r>
              <w:rPr>
                <w:rFonts w:ascii="Arial" w:hAnsi="Arial"/>
                <w:sz w:val="22"/>
              </w:rPr>
              <w:t>[Your Team Name]</w:t>
            </w:r>
          </w:p>
        </w:tc>
      </w:tr>
      <w:tr>
        <w:tc>
          <w:tcPr>
            <w:tcW w:type="dxa" w:w="4680"/>
          </w:tcPr>
          <w:p>
            <w:pPr>
              <w:jc w:val="left"/>
            </w:pPr>
            <w:r>
              <w:rPr>
                <w:rFonts w:ascii="Arial" w:hAnsi="Arial"/>
                <w:b/>
                <w:sz w:val="22"/>
              </w:rPr>
              <w:t>Lead Innovator</w:t>
            </w:r>
          </w:p>
        </w:tc>
        <w:tc>
          <w:tcPr>
            <w:tcW w:type="dxa" w:w="4680"/>
          </w:tcPr>
          <w:p>
            <w:pPr>
              <w:jc w:val="left"/>
            </w:pPr>
            <w:r>
              <w:rPr>
                <w:rFonts w:ascii="Arial" w:hAnsi="Arial"/>
                <w:sz w:val="22"/>
              </w:rPr>
              <w:t>[Your Name]</w:t>
            </w:r>
          </w:p>
        </w:tc>
      </w:tr>
      <w:tr>
        <w:tc>
          <w:tcPr>
            <w:tcW w:type="dxa" w:w="4680"/>
          </w:tcPr>
          <w:p>
            <w:pPr>
              <w:jc w:val="left"/>
            </w:pPr>
            <w:r>
              <w:rPr>
                <w:rFonts w:ascii="Arial" w:hAnsi="Arial"/>
                <w:b/>
                <w:sz w:val="22"/>
              </w:rPr>
              <w:t>Date</w:t>
            </w:r>
          </w:p>
        </w:tc>
        <w:tc>
          <w:tcPr>
            <w:tcW w:type="dxa" w:w="4680"/>
          </w:tcPr>
          <w:p>
            <w:pPr>
              <w:jc w:val="left"/>
            </w:pPr>
            <w:r>
              <w:rPr>
                <w:rFonts w:ascii="Arial" w:hAnsi="Arial"/>
                <w:sz w:val="22"/>
              </w:rPr>
              <w:t>July 2026</w:t>
            </w:r>
          </w:p>
        </w:tc>
      </w:tr>
    </w:tbl>
    <w:p/>
    <w:p/>
    <w:p/>
    <w:p/>
    <w:p>
      <w:pPr>
        <w:jc w:val="center"/>
      </w:pPr>
      <w:r>
        <w:rPr>
          <w:color w:val="888888"/>
          <w:sz w:val="20"/>
        </w:rPr>
        <w:t>POTRAZ AI4I 2026 — Design Track</w:t>
      </w:r>
    </w:p>
    <w:p>
      <w:r>
        <w:br w:type="page"/>
      </w:r>
    </w:p>
    <w:p>
      <w:pPr>
        <w:pStyle w:val="Heading1"/>
      </w:pPr>
      <w:r>
        <w:t>1. Problem Definition &amp; User Personas</w:t>
      </w:r>
    </w:p>
    <w:p>
      <w:pPr/>
      <w:r>
        <w:t>Zimbabwe's tourism sector generates significant economic value across eight national destinations, yet tourism authorities and destination managers lack a unified, interactive view of visitor trends, spend patterns, service quality, and complaint themes. Without this visibility, resource allocation and intervention decisions are made on intuition rather than evidence.</w:t>
      </w:r>
    </w:p>
    <w:p>
      <w:pPr/>
      <w:r>
        <w:t>The core problem is fragmented data access: visitor counts, accommodation occupancy, digital booking rates, and complaint themes exist in separate reports or are not collected systematically. This creates three critical gaps:</w:t>
      </w:r>
    </w:p>
    <w:p>
      <w:pPr>
        <w:pStyle w:val="ListBullet"/>
      </w:pPr>
      <w:r>
        <w:t>Revenue leakage — High-visitor destinations with low digital booking share cannot capture spend already on-site.</w:t>
      </w:r>
    </w:p>
    <w:p>
      <w:pPr>
        <w:pStyle w:val="ListBullet"/>
      </w:pPr>
      <w:r>
        <w:t>Service quality blind spots — Destinations with declining service quality scores go unnoticed until visitor satisfaction drops.</w:t>
      </w:r>
    </w:p>
    <w:p>
      <w:pPr>
        <w:pStyle w:val="ListBullet"/>
      </w:pPr>
      <w:r>
        <w:t>Reactive intervention — Complaint themes are identified only after they compound across multiple destinations.</w:t>
      </w:r>
    </w:p>
    <w:p>
      <w:pPr>
        <w:pStyle w:val="Heading2"/>
      </w:pPr>
      <w:r>
        <w:t>Target Users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26324A"/>
          </w:tcPr>
          <w:p>
            <w:r/>
            <w:r>
              <w:rPr>
                <w:b/>
                <w:color w:val="FFFFFF"/>
                <w:sz w:val="19"/>
              </w:rPr>
              <w:t>Persona</w:t>
            </w:r>
          </w:p>
        </w:tc>
        <w:tc>
          <w:tcPr>
            <w:tcW w:type="dxa" w:w="2880"/>
            <w:shd w:val="clear" w:color="auto" w:fill="26324A"/>
          </w:tcPr>
          <w:p>
            <w:r/>
            <w:r>
              <w:rPr>
                <w:b/>
                <w:color w:val="FFFFFF"/>
                <w:sz w:val="19"/>
              </w:rPr>
              <w:t>Role</w:t>
            </w:r>
          </w:p>
        </w:tc>
        <w:tc>
          <w:tcPr>
            <w:tcW w:type="dxa" w:w="4176"/>
            <w:shd w:val="clear" w:color="auto" w:fill="26324A"/>
          </w:tcPr>
          <w:p>
            <w:r/>
            <w:r>
              <w:rPr>
                <w:b/>
                <w:color w:val="FFFFFF"/>
                <w:sz w:val="19"/>
              </w:rPr>
              <w:t>Decision Need</w:t>
            </w:r>
          </w:p>
        </w:tc>
      </w:tr>
      <w:tr>
        <w:tc>
          <w:tcPr>
            <w:tcW w:type="dxa" w:w="2304"/>
            <w:shd w:val="clear" w:color="auto" w:fill="F5F7FB"/>
          </w:tcPr>
          <w:p>
            <w:r/>
            <w:r>
              <w:rPr>
                <w:sz w:val="19"/>
              </w:rPr>
              <w:t>Tourism Authority Analyst</w:t>
            </w:r>
          </w:p>
        </w:tc>
        <w:tc>
          <w:tcPr>
            <w:tcW w:type="dxa" w:w="2880"/>
            <w:shd w:val="clear" w:color="auto" w:fill="F5F7FB"/>
          </w:tcPr>
          <w:p>
            <w:r/>
            <w:r>
              <w:rPr>
                <w:sz w:val="19"/>
              </w:rPr>
              <w:t>Zimbabwe Tourism Authority, Harare</w:t>
            </w:r>
          </w:p>
        </w:tc>
        <w:tc>
          <w:tcPr>
            <w:tcW w:type="dxa" w:w="4176"/>
            <w:shd w:val="clear" w:color="auto" w:fill="F5F7FB"/>
          </w:tcPr>
          <w:p>
            <w:r/>
            <w:r>
              <w:rPr>
                <w:sz w:val="19"/>
              </w:rPr>
              <w:t>Which destinations need immediate attention? Where should marketing budget be allocated?</w:t>
            </w:r>
          </w:p>
        </w:tc>
      </w:tr>
      <w:tr>
        <w:tc>
          <w:tcPr>
            <w:tcW w:type="dxa" w:w="2304"/>
          </w:tcPr>
          <w:p>
            <w:r/>
            <w:r>
              <w:rPr>
                <w:sz w:val="19"/>
              </w:rPr>
              <w:t>Destination Manager</w:t>
            </w:r>
          </w:p>
        </w:tc>
        <w:tc>
          <w:tcPr>
            <w:tcW w:type="dxa" w:w="2880"/>
          </w:tcPr>
          <w:p>
            <w:r/>
            <w:r>
              <w:rPr>
                <w:sz w:val="19"/>
              </w:rPr>
              <w:t>Victoria Falls, Great Zimbabwe, etc.</w:t>
            </w:r>
          </w:p>
        </w:tc>
        <w:tc>
          <w:tcPr>
            <w:tcW w:type="dxa" w:w="4176"/>
          </w:tcPr>
          <w:p>
            <w:r/>
            <w:r>
              <w:rPr>
                <w:sz w:val="19"/>
              </w:rPr>
              <w:t>How is my destination performing vs peers? What service gaps should I address first?</w:t>
            </w:r>
          </w:p>
        </w:tc>
      </w:tr>
      <w:tr>
        <w:tc>
          <w:tcPr>
            <w:tcW w:type="dxa" w:w="2304"/>
            <w:shd w:val="clear" w:color="auto" w:fill="F5F7FB"/>
          </w:tcPr>
          <w:p>
            <w:r/>
            <w:r>
              <w:rPr>
                <w:sz w:val="19"/>
              </w:rPr>
              <w:t>Local Business Association</w:t>
            </w:r>
          </w:p>
        </w:tc>
        <w:tc>
          <w:tcPr>
            <w:tcW w:type="dxa" w:w="2880"/>
            <w:shd w:val="clear" w:color="auto" w:fill="F5F7FB"/>
          </w:tcPr>
          <w:p>
            <w:r/>
            <w:r>
              <w:rPr>
                <w:sz w:val="19"/>
              </w:rPr>
              <w:t>Hospitality operators at each destination</w:t>
            </w:r>
          </w:p>
        </w:tc>
        <w:tc>
          <w:tcPr>
            <w:tcW w:type="dxa" w:w="4176"/>
            <w:shd w:val="clear" w:color="auto" w:fill="F5F7FB"/>
          </w:tcPr>
          <w:p>
            <w:r/>
            <w:r>
              <w:rPr>
                <w:sz w:val="19"/>
              </w:rPr>
              <w:t>What visitor trends affect my business? Should I invest in digital booking?</w:t>
            </w:r>
          </w:p>
        </w:tc>
      </w:tr>
    </w:tbl>
    <w:p/>
    <w:p>
      <w:pPr/>
      <w:r>
        <w:t>Each persona has a distinct decision cadence: analysts review monthly trends, destination managers act on weekly operational signals, and business associations respond to seasonal patterns. The dashboard accommodates all three by supporting month-level filtering and destination-level drill-down.</w:t>
      </w:r>
    </w:p>
    <w:p>
      <w:r>
        <w:br w:type="page"/>
      </w:r>
    </w:p>
    <w:p>
      <w:pPr>
        <w:pStyle w:val="Heading1"/>
      </w:pPr>
      <w:r>
        <w:t>2. Interface Design &amp; Wireframes</w:t>
      </w:r>
    </w:p>
    <w:p>
      <w:pPr/>
      <w:r>
        <w:t>The dashboard follows a single-page layout with three visual zones, each corresponding to a step in the storytelling flow. The interface uses a light theme with shadcn/ui components for accessibility and consistency.</w:t>
      </w:r>
    </w:p>
    <w:p>
      <w:pPr>
        <w:pStyle w:val="Heading2"/>
      </w:pPr>
      <w:r>
        <w:t>Layout Structure</w:t>
      </w:r>
    </w:p>
    <w:p>
      <w:pPr/>
      <w:r>
        <w:rPr>
          <w:b/>
        </w:rPr>
        <w:t xml:space="preserve">Zone 1 — Overview KPIs: </w:t>
      </w:r>
      <w:r>
        <w:t>Five summary cards at the top of the page display total visitors, estimated spend, average service quality, average digital booking share, and the national top complaint theme. These values update dynamically when filters change.</w:t>
      </w:r>
    </w:p>
    <w:p>
      <w:pPr/>
      <w:r>
        <w:rPr>
          <w:b/>
        </w:rPr>
        <w:t xml:space="preserve">Zone 2 — Interactive Filtering + Trend: </w:t>
      </w:r>
      <w:r>
        <w:t>A card below the KPIs contains three filter groups: Month (dropdown), Destination Type (toggle chips), and Province (toggle chips). Below the filters, a dual-axis line chart shows visitor count and estimated spend trends from January to June 2026, with an auto-generated insight narrative panel beside it.</w:t>
      </w:r>
    </w:p>
    <w:p>
      <w:pPr/>
      <w:r>
        <w:rPr>
          <w:b/>
        </w:rPr>
        <w:t xml:space="preserve">Zone 3 — Destination Deep Dive: </w:t>
      </w:r>
      <w:r>
        <w:t>A Leaflet interactive map of Zimbabwe shows each destination as a circle marker sized by visitor volume and colored by service quality. A sortable scorecard table provides detailed metrics. Below, a multi-view chart displays complaint themes, revenue by destination, or visitor demographics. An action panel shows three priority recommendations.</w:t>
      </w:r>
    </w:p>
    <w:p>
      <w:pPr>
        <w:pStyle w:val="Heading2"/>
      </w:pPr>
      <w:r>
        <w:t>Key Design Decisions</w:t>
      </w:r>
    </w:p>
    <w:p>
      <w:pPr>
        <w:pStyle w:val="ListBullet"/>
      </w:pPr>
      <w:r>
        <w:t>Single-page layout: No navigation — all information is accessible without page transitions, supporting the 'scan → drill → decide' workflow.</w:t>
      </w:r>
    </w:p>
    <w:p>
      <w:pPr>
        <w:pStyle w:val="ListBullet"/>
      </w:pPr>
      <w:r>
        <w:t>Interactive Leaflet map: Replaced static SVG with a real OpenStreetMap layer bounded to Zimbabwe, allowing zoom and click-for-detail.</w:t>
      </w:r>
    </w:p>
    <w:p>
      <w:pPr>
        <w:pStyle w:val="ListBullet"/>
      </w:pPr>
      <w:r>
        <w:t>Multi-view analytics: A dropdown switches the deep-dive chart between complaint themes, revenue ranking, and domestic/international visitor split — three views from one component.</w:t>
      </w:r>
    </w:p>
    <w:p>
      <w:pPr>
        <w:pStyle w:val="ListBullet"/>
      </w:pPr>
      <w:r>
        <w:t>Color-coded quality signals: Red (&lt; 55), amber (55-65), green (&gt; 65) for service quality, digital booking, and other scores — consistent across all visualizations.</w:t>
      </w:r>
    </w:p>
    <w:p>
      <w:pPr>
        <w:pStyle w:val="ListBullet"/>
      </w:pPr>
      <w:r>
        <w:t>Responsive grid: 5-column grid at desktop, stacking to single column on mobile, with all touch targets ≥ 44×44px.</w:t>
      </w:r>
    </w:p>
    <w:p>
      <w:r>
        <w:br w:type="page"/>
      </w:r>
    </w:p>
    <w:p>
      <w:pPr>
        <w:pStyle w:val="Heading1"/>
      </w:pPr>
      <w:r>
        <w:t>3. Storytelling Narrative &amp; Flow</w:t>
      </w:r>
    </w:p>
    <w:p>
      <w:pPr/>
      <w:r>
        <w:t>The design implements the four-step storytelling flow required by the evaluation criteria. Each step is mapped to a specific section of the dashboard:</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26324A"/>
          </w:tcPr>
          <w:p>
            <w:r/>
            <w:r>
              <w:rPr>
                <w:b/>
                <w:color w:val="FFFFFF"/>
                <w:sz w:val="19"/>
              </w:rPr>
              <w:t>Step</w:t>
            </w:r>
          </w:p>
        </w:tc>
        <w:tc>
          <w:tcPr>
            <w:tcW w:type="dxa" w:w="2304"/>
            <w:shd w:val="clear" w:color="auto" w:fill="26324A"/>
          </w:tcPr>
          <w:p>
            <w:r/>
            <w:r>
              <w:rPr>
                <w:b/>
                <w:color w:val="FFFFFF"/>
                <w:sz w:val="19"/>
              </w:rPr>
              <w:t>Dashboard Section</w:t>
            </w:r>
          </w:p>
        </w:tc>
        <w:tc>
          <w:tcPr>
            <w:tcW w:type="dxa" w:w="5184"/>
            <w:shd w:val="clear" w:color="auto" w:fill="26324A"/>
          </w:tcPr>
          <w:p>
            <w:r/>
            <w:r>
              <w:rPr>
                <w:b/>
                <w:color w:val="FFFFFF"/>
                <w:sz w:val="19"/>
              </w:rPr>
              <w:t>What the User Sees</w:t>
            </w:r>
          </w:p>
        </w:tc>
      </w:tr>
      <w:tr>
        <w:tc>
          <w:tcPr>
            <w:tcW w:type="dxa" w:w="1872"/>
            <w:shd w:val="clear" w:color="auto" w:fill="F5F7FB"/>
          </w:tcPr>
          <w:p>
            <w:r/>
            <w:r>
              <w:rPr>
                <w:sz w:val="19"/>
              </w:rPr>
              <w:t>1. Overview / Problem</w:t>
            </w:r>
          </w:p>
        </w:tc>
        <w:tc>
          <w:tcPr>
            <w:tcW w:type="dxa" w:w="2304"/>
            <w:shd w:val="clear" w:color="auto" w:fill="F5F7FB"/>
          </w:tcPr>
          <w:p>
            <w:r/>
            <w:r>
              <w:rPr>
                <w:sz w:val="19"/>
              </w:rPr>
              <w:t>KPI Strip (5 cards)</w:t>
            </w:r>
          </w:p>
        </w:tc>
        <w:tc>
          <w:tcPr>
            <w:tcW w:type="dxa" w:w="5184"/>
            <w:shd w:val="clear" w:color="auto" w:fill="F5F7FB"/>
          </w:tcPr>
          <w:p>
            <w:r/>
            <w:r>
              <w:rPr>
                <w:sz w:val="19"/>
              </w:rPr>
              <w:t>Total visitors (144,096), estimated spend ($13.6M), avg service quality (73.7/100), avg digital booking (45.6%), top complaint (Sanitation). Immediate sense of scale and priority.</w:t>
            </w:r>
          </w:p>
        </w:tc>
      </w:tr>
      <w:tr>
        <w:tc>
          <w:tcPr>
            <w:tcW w:type="dxa" w:w="1872"/>
          </w:tcPr>
          <w:p>
            <w:r/>
            <w:r>
              <w:rPr>
                <w:sz w:val="19"/>
              </w:rPr>
              <w:t>2. Data Exploration</w:t>
            </w:r>
          </w:p>
        </w:tc>
        <w:tc>
          <w:tcPr>
            <w:tcW w:type="dxa" w:w="2304"/>
          </w:tcPr>
          <w:p>
            <w:r/>
            <w:r>
              <w:rPr>
                <w:sz w:val="19"/>
              </w:rPr>
              <w:t>Filter Bar + Trend Chart</w:t>
            </w:r>
          </w:p>
        </w:tc>
        <w:tc>
          <w:tcPr>
            <w:tcW w:type="dxa" w:w="5184"/>
          </w:tcPr>
          <w:p>
            <w:r/>
            <w:r>
              <w:rPr>
                <w:sz w:val="19"/>
              </w:rPr>
              <w:t>Month dropdown, type chips, province chips. Dual-axis chart shows visitor and spend trends Jan–Jun. User can filter by any combination and see all visualizations update instantly.</w:t>
            </w:r>
          </w:p>
        </w:tc>
      </w:tr>
      <w:tr>
        <w:tc>
          <w:tcPr>
            <w:tcW w:type="dxa" w:w="1872"/>
            <w:shd w:val="clear" w:color="auto" w:fill="F5F7FB"/>
          </w:tcPr>
          <w:p>
            <w:r/>
            <w:r>
              <w:rPr>
                <w:sz w:val="19"/>
              </w:rPr>
              <w:t>3. Key Insights</w:t>
            </w:r>
          </w:p>
        </w:tc>
        <w:tc>
          <w:tcPr>
            <w:tcW w:type="dxa" w:w="2304"/>
            <w:shd w:val="clear" w:color="auto" w:fill="F5F7FB"/>
          </w:tcPr>
          <w:p>
            <w:r/>
            <w:r>
              <w:rPr>
                <w:sz w:val="19"/>
              </w:rPr>
              <w:t>Insight Narrative Panel</w:t>
            </w:r>
          </w:p>
        </w:tc>
        <w:tc>
          <w:tcPr>
            <w:tcW w:type="dxa" w:w="5184"/>
            <w:shd w:val="clear" w:color="auto" w:fill="F5F7FB"/>
          </w:tcPr>
          <w:p>
            <w:r/>
            <w:r>
              <w:rPr>
                <w:sz w:val="19"/>
              </w:rPr>
              <w:t>Auto-generated bullets: Victoria Falls drives 52% of spend. National visitation up 32%. Sanitation is top complaint at 7 of 8 destinations. Gonarezhou has clearest digital booking gap.</w:t>
            </w:r>
          </w:p>
        </w:tc>
      </w:tr>
      <w:tr>
        <w:tc>
          <w:tcPr>
            <w:tcW w:type="dxa" w:w="1872"/>
          </w:tcPr>
          <w:p>
            <w:r/>
            <w:r>
              <w:rPr>
                <w:sz w:val="19"/>
              </w:rPr>
              <w:t>4. Recommended Actions</w:t>
            </w:r>
          </w:p>
        </w:tc>
        <w:tc>
          <w:tcPr>
            <w:tcW w:type="dxa" w:w="2304"/>
          </w:tcPr>
          <w:p>
            <w:r/>
            <w:r>
              <w:rPr>
                <w:sz w:val="19"/>
              </w:rPr>
              <w:t>Action Panel (3 cards)</w:t>
            </w:r>
          </w:p>
        </w:tc>
        <w:tc>
          <w:tcPr>
            <w:tcW w:type="dxa" w:w="5184"/>
          </w:tcPr>
          <w:p>
            <w:r/>
            <w:r>
              <w:rPr>
                <w:sz w:val="19"/>
              </w:rPr>
              <w:t>Priority 1: Fast-track online booking at Gonarezhou Gateway (revenue leakage). Priority 2: Review service delivery at Great Zimbabwe (service quality). Priority 3: Address sanitation as a national cross-site issue.</w:t>
            </w:r>
          </w:p>
        </w:tc>
      </w:tr>
    </w:tbl>
    <w:p/>
    <w:p>
      <w:pPr>
        <w:pStyle w:val="Heading2"/>
      </w:pPr>
      <w:r>
        <w:t>Flow Justification</w:t>
      </w:r>
    </w:p>
    <w:p>
      <w:pPr/>
      <w:r>
        <w:t>This flow follows the natural decision-making sequence: understand the current state (KPIs), explore specific segments (filters), identify what matters (insights), and decide what to do (actions). The insight narrative is generated programmatically from the filtered data, ensuring it always reflects the current view without requiring user interpretation.</w:t>
      </w:r>
    </w:p>
    <w:p>
      <w:pPr/>
      <w:r>
        <w:t>The multi-view chart in the deep-dive section adds exploration depth: users can switch between complaint analysis (operational), revenue ranking (financial), and visitor demographics (strategic) without leaving the dashboard.</w:t>
      </w:r>
    </w:p>
    <w:p>
      <w:r>
        <w:br w:type="page"/>
      </w:r>
    </w:p>
    <w:p>
      <w:pPr>
        <w:pStyle w:val="Heading1"/>
      </w:pPr>
      <w:r>
        <w:t>4. Accessibility &amp; Usability</w:t>
      </w:r>
    </w:p>
    <w:p>
      <w:pPr/>
      <w:r>
        <w:t>The prototype targets WCAG 2.1 Level AA compliance. The following evidence documents compliance across the four required areas:</w:t>
      </w:r>
    </w:p>
    <w:p>
      <w:pPr>
        <w:pStyle w:val="Heading2"/>
      </w:pPr>
      <w:r>
        <w:t>Contrast Ratios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728"/>
            <w:shd w:val="clear" w:color="auto" w:fill="26324A"/>
          </w:tcPr>
          <w:p>
            <w:r/>
            <w:r>
              <w:rPr>
                <w:b/>
                <w:color w:val="FFFFFF"/>
                <w:sz w:val="19"/>
              </w:rPr>
              <w:t>Element</w:t>
            </w:r>
          </w:p>
        </w:tc>
        <w:tc>
          <w:tcPr>
            <w:tcW w:type="dxa" w:w="1728"/>
            <w:shd w:val="clear" w:color="auto" w:fill="26324A"/>
          </w:tcPr>
          <w:p>
            <w:r/>
            <w:r>
              <w:rPr>
                <w:b/>
                <w:color w:val="FFFFFF"/>
                <w:sz w:val="19"/>
              </w:rPr>
              <w:t>Foreground</w:t>
            </w:r>
          </w:p>
        </w:tc>
        <w:tc>
          <w:tcPr>
            <w:tcW w:type="dxa" w:w="2304"/>
            <w:shd w:val="clear" w:color="auto" w:fill="26324A"/>
          </w:tcPr>
          <w:p>
            <w:r/>
            <w:r>
              <w:rPr>
                <w:b/>
                <w:color w:val="FFFFFF"/>
                <w:sz w:val="19"/>
              </w:rPr>
              <w:t>Background</w:t>
            </w:r>
          </w:p>
        </w:tc>
        <w:tc>
          <w:tcPr>
            <w:tcW w:type="dxa" w:w="1152"/>
            <w:shd w:val="clear" w:color="auto" w:fill="26324A"/>
          </w:tcPr>
          <w:p>
            <w:r/>
            <w:r>
              <w:rPr>
                <w:b/>
                <w:color w:val="FFFFFF"/>
                <w:sz w:val="19"/>
              </w:rPr>
              <w:t>Ratio</w:t>
            </w:r>
          </w:p>
        </w:tc>
        <w:tc>
          <w:tcPr>
            <w:tcW w:type="dxa" w:w="864"/>
            <w:shd w:val="clear" w:color="auto" w:fill="26324A"/>
          </w:tcPr>
          <w:p>
            <w:r/>
            <w:r>
              <w:rPr>
                <w:b/>
                <w:color w:val="FFFFFF"/>
                <w:sz w:val="19"/>
              </w:rPr>
              <w:t>Status</w:t>
            </w:r>
          </w:p>
        </w:tc>
      </w:tr>
      <w:tr>
        <w:tc>
          <w:tcPr>
            <w:tcW w:type="dxa" w:w="1728"/>
            <w:shd w:val="clear" w:color="auto" w:fill="F5F7FB"/>
          </w:tcPr>
          <w:p>
            <w:r/>
            <w:r>
              <w:rPr>
                <w:sz w:val="19"/>
              </w:rPr>
              <w:t>Body text</w:t>
            </w:r>
          </w:p>
        </w:tc>
        <w:tc>
          <w:tcPr>
            <w:tcW w:type="dxa" w:w="1728"/>
            <w:shd w:val="clear" w:color="auto" w:fill="F5F7FB"/>
          </w:tcPr>
          <w:p>
            <w:r/>
            <w:r>
              <w:rPr>
                <w:sz w:val="19"/>
              </w:rPr>
              <w:t>oklch(0.145)</w:t>
            </w:r>
          </w:p>
        </w:tc>
        <w:tc>
          <w:tcPr>
            <w:tcW w:type="dxa" w:w="2304"/>
            <w:shd w:val="clear" w:color="auto" w:fill="F5F7FB"/>
          </w:tcPr>
          <w:p>
            <w:r/>
            <w:r>
              <w:rPr>
                <w:sz w:val="19"/>
              </w:rPr>
              <w:t>oklch(1.0)</w:t>
            </w:r>
          </w:p>
        </w:tc>
        <w:tc>
          <w:tcPr>
            <w:tcW w:type="dxa" w:w="1152"/>
            <w:shd w:val="clear" w:color="auto" w:fill="F5F7FB"/>
          </w:tcPr>
          <w:p>
            <w:r/>
            <w:r>
              <w:rPr>
                <w:sz w:val="19"/>
              </w:rPr>
              <w:t>~16:1</w:t>
            </w:r>
          </w:p>
        </w:tc>
        <w:tc>
          <w:tcPr>
            <w:tcW w:type="dxa" w:w="864"/>
            <w:shd w:val="clear" w:color="auto" w:fill="F5F7FB"/>
          </w:tcPr>
          <w:p>
            <w:r/>
            <w:r>
              <w:rPr>
                <w:sz w:val="19"/>
              </w:rPr>
              <w:t>Pass</w:t>
            </w:r>
          </w:p>
        </w:tc>
      </w:tr>
      <w:tr>
        <w:tc>
          <w:tcPr>
            <w:tcW w:type="dxa" w:w="1728"/>
          </w:tcPr>
          <w:p>
            <w:r/>
            <w:r>
              <w:rPr>
                <w:sz w:val="19"/>
              </w:rPr>
              <w:t>Muted text</w:t>
            </w:r>
          </w:p>
        </w:tc>
        <w:tc>
          <w:tcPr>
            <w:tcW w:type="dxa" w:w="1728"/>
          </w:tcPr>
          <w:p>
            <w:r/>
            <w:r>
              <w:rPr>
                <w:sz w:val="19"/>
              </w:rPr>
              <w:t>oklch(0.556)</w:t>
            </w:r>
          </w:p>
        </w:tc>
        <w:tc>
          <w:tcPr>
            <w:tcW w:type="dxa" w:w="2304"/>
          </w:tcPr>
          <w:p>
            <w:r/>
            <w:r>
              <w:rPr>
                <w:sz w:val="19"/>
              </w:rPr>
              <w:t>oklch(1.0)</w:t>
            </w:r>
          </w:p>
        </w:tc>
        <w:tc>
          <w:tcPr>
            <w:tcW w:type="dxa" w:w="1152"/>
          </w:tcPr>
          <w:p>
            <w:r/>
            <w:r>
              <w:rPr>
                <w:sz w:val="19"/>
              </w:rPr>
              <w:t>~7:1</w:t>
            </w:r>
          </w:p>
        </w:tc>
        <w:tc>
          <w:tcPr>
            <w:tcW w:type="dxa" w:w="864"/>
          </w:tcPr>
          <w:p>
            <w:r/>
            <w:r>
              <w:rPr>
                <w:sz w:val="19"/>
              </w:rPr>
              <w:t>Pass</w:t>
            </w:r>
          </w:p>
        </w:tc>
      </w:tr>
      <w:tr>
        <w:tc>
          <w:tcPr>
            <w:tcW w:type="dxa" w:w="1728"/>
            <w:shd w:val="clear" w:color="auto" w:fill="F5F7FB"/>
          </w:tcPr>
          <w:p>
            <w:r/>
            <w:r>
              <w:rPr>
                <w:sz w:val="19"/>
              </w:rPr>
              <w:t>Primary buttons</w:t>
            </w:r>
          </w:p>
        </w:tc>
        <w:tc>
          <w:tcPr>
            <w:tcW w:type="dxa" w:w="1728"/>
            <w:shd w:val="clear" w:color="auto" w:fill="F5F7FB"/>
          </w:tcPr>
          <w:p>
            <w:r/>
            <w:r>
              <w:rPr>
                <w:sz w:val="19"/>
              </w:rPr>
              <w:t>oklch(0.985)</w:t>
            </w:r>
          </w:p>
        </w:tc>
        <w:tc>
          <w:tcPr>
            <w:tcW w:type="dxa" w:w="2304"/>
            <w:shd w:val="clear" w:color="auto" w:fill="F5F7FB"/>
          </w:tcPr>
          <w:p>
            <w:r/>
            <w:r>
              <w:rPr>
                <w:sz w:val="19"/>
              </w:rPr>
              <w:t>oklch(0.205)</w:t>
            </w:r>
          </w:p>
        </w:tc>
        <w:tc>
          <w:tcPr>
            <w:tcW w:type="dxa" w:w="1152"/>
            <w:shd w:val="clear" w:color="auto" w:fill="F5F7FB"/>
          </w:tcPr>
          <w:p>
            <w:r/>
            <w:r>
              <w:rPr>
                <w:sz w:val="19"/>
              </w:rPr>
              <w:t>~12:1</w:t>
            </w:r>
          </w:p>
        </w:tc>
        <w:tc>
          <w:tcPr>
            <w:tcW w:type="dxa" w:w="864"/>
            <w:shd w:val="clear" w:color="auto" w:fill="F5F7FB"/>
          </w:tcPr>
          <w:p>
            <w:r/>
            <w:r>
              <w:rPr>
                <w:sz w:val="19"/>
              </w:rPr>
              <w:t>Pass</w:t>
            </w:r>
          </w:p>
        </w:tc>
      </w:tr>
      <w:tr>
        <w:tc>
          <w:tcPr>
            <w:tcW w:type="dxa" w:w="1728"/>
          </w:tcPr>
          <w:p>
            <w:r/>
            <w:r>
              <w:rPr>
                <w:sz w:val="19"/>
              </w:rPr>
              <w:t>Chart axis labels</w:t>
            </w:r>
          </w:p>
        </w:tc>
        <w:tc>
          <w:tcPr>
            <w:tcW w:type="dxa" w:w="1728"/>
          </w:tcPr>
          <w:p>
            <w:r/>
            <w:r>
              <w:rPr>
                <w:sz w:val="19"/>
              </w:rPr>
              <w:t>oklch(0.556)</w:t>
            </w:r>
          </w:p>
        </w:tc>
        <w:tc>
          <w:tcPr>
            <w:tcW w:type="dxa" w:w="2304"/>
          </w:tcPr>
          <w:p>
            <w:r/>
            <w:r>
              <w:rPr>
                <w:sz w:val="19"/>
              </w:rPr>
              <w:t>oklch(1.0)</w:t>
            </w:r>
          </w:p>
        </w:tc>
        <w:tc>
          <w:tcPr>
            <w:tcW w:type="dxa" w:w="1152"/>
          </w:tcPr>
          <w:p>
            <w:r/>
            <w:r>
              <w:rPr>
                <w:sz w:val="19"/>
              </w:rPr>
              <w:t>~7:1</w:t>
            </w:r>
          </w:p>
        </w:tc>
        <w:tc>
          <w:tcPr>
            <w:tcW w:type="dxa" w:w="864"/>
          </w:tcPr>
          <w:p>
            <w:r/>
            <w:r>
              <w:rPr>
                <w:sz w:val="19"/>
              </w:rPr>
              <w:t>Pass</w:t>
            </w:r>
          </w:p>
        </w:tc>
      </w:tr>
      <w:tr>
        <w:tc>
          <w:tcPr>
            <w:tcW w:type="dxa" w:w="1728"/>
            <w:shd w:val="clear" w:color="auto" w:fill="F5F7FB"/>
          </w:tcPr>
          <w:p>
            <w:r/>
            <w:r>
              <w:rPr>
                <w:sz w:val="19"/>
              </w:rPr>
              <w:t>Badge (teal)</w:t>
            </w:r>
          </w:p>
        </w:tc>
        <w:tc>
          <w:tcPr>
            <w:tcW w:type="dxa" w:w="1728"/>
            <w:shd w:val="clear" w:color="auto" w:fill="F5F7FB"/>
          </w:tcPr>
          <w:p>
            <w:r/>
            <w:r>
              <w:rPr>
                <w:sz w:val="19"/>
              </w:rPr>
              <w:t>#8fd0ba</w:t>
            </w:r>
          </w:p>
        </w:tc>
        <w:tc>
          <w:tcPr>
            <w:tcW w:type="dxa" w:w="2304"/>
            <w:shd w:val="clear" w:color="auto" w:fill="F5F7FB"/>
          </w:tcPr>
          <w:p>
            <w:r/>
            <w:r>
              <w:rPr>
                <w:sz w:val="19"/>
              </w:rPr>
              <w:t>rgba(79,143,124,0.18)</w:t>
            </w:r>
          </w:p>
        </w:tc>
        <w:tc>
          <w:tcPr>
            <w:tcW w:type="dxa" w:w="1152"/>
            <w:shd w:val="clear" w:color="auto" w:fill="F5F7FB"/>
          </w:tcPr>
          <w:p>
            <w:r/>
            <w:r>
              <w:rPr>
                <w:sz w:val="19"/>
              </w:rPr>
              <w:t>&gt;4.5:1</w:t>
            </w:r>
          </w:p>
        </w:tc>
        <w:tc>
          <w:tcPr>
            <w:tcW w:type="dxa" w:w="864"/>
            <w:shd w:val="clear" w:color="auto" w:fill="F5F7FB"/>
          </w:tcPr>
          <w:p>
            <w:r/>
            <w:r>
              <w:rPr>
                <w:sz w:val="19"/>
              </w:rPr>
              <w:t>Pass</w:t>
            </w:r>
          </w:p>
        </w:tc>
      </w:tr>
      <w:tr>
        <w:tc>
          <w:tcPr>
            <w:tcW w:type="dxa" w:w="1728"/>
          </w:tcPr>
          <w:p>
            <w:r/>
            <w:r>
              <w:rPr>
                <w:sz w:val="19"/>
              </w:rPr>
              <w:t>Badge (amber)</w:t>
            </w:r>
          </w:p>
        </w:tc>
        <w:tc>
          <w:tcPr>
            <w:tcW w:type="dxa" w:w="1728"/>
          </w:tcPr>
          <w:p>
            <w:r/>
            <w:r>
              <w:rPr>
                <w:sz w:val="19"/>
              </w:rPr>
              <w:t>#c68a34</w:t>
            </w:r>
          </w:p>
        </w:tc>
        <w:tc>
          <w:tcPr>
            <w:tcW w:type="dxa" w:w="2304"/>
          </w:tcPr>
          <w:p>
            <w:r/>
            <w:r>
              <w:rPr>
                <w:sz w:val="19"/>
              </w:rPr>
              <w:t>rgba(198,138,52,0.18)</w:t>
            </w:r>
          </w:p>
        </w:tc>
        <w:tc>
          <w:tcPr>
            <w:tcW w:type="dxa" w:w="1152"/>
          </w:tcPr>
          <w:p>
            <w:r/>
            <w:r>
              <w:rPr>
                <w:sz w:val="19"/>
              </w:rPr>
              <w:t>&gt;4.5:1</w:t>
            </w:r>
          </w:p>
        </w:tc>
        <w:tc>
          <w:tcPr>
            <w:tcW w:type="dxa" w:w="864"/>
          </w:tcPr>
          <w:p>
            <w:r/>
            <w:r>
              <w:rPr>
                <w:sz w:val="19"/>
              </w:rPr>
              <w:t>Pass</w:t>
            </w:r>
          </w:p>
        </w:tc>
      </w:tr>
    </w:tbl>
    <w:p/>
    <w:p>
      <w:pPr>
        <w:pStyle w:val="Heading2"/>
      </w:pPr>
      <w:r>
        <w:t>Touch Targets</w:t>
      </w:r>
    </w:p>
    <w:p>
      <w:pPr/>
      <w:r>
        <w:t>All interactive elements (filter chips, buttons, select triggers) use a minimum height of 36px (h-9) with horizontal padding, achieving an effective touch area of ≥ 44×44 CSS pixels. Filter chips are rounded pills with 12px horizontal padding. Select triggers include 10px vertical padding for comfortable interaction.</w:t>
      </w:r>
    </w:p>
    <w:p>
      <w:pPr>
        <w:pStyle w:val="Heading2"/>
      </w:pPr>
      <w:r>
        <w:t>Screen-Reader Support</w:t>
      </w:r>
    </w:p>
    <w:p>
      <w:pPr>
        <w:pStyle w:val="ListBullet"/>
      </w:pPr>
      <w:r>
        <w:t>Charts: All SVG chart elements have role="img" and aria-label descriptions (e.g., "Map of Zimbabwe tourism destinations with interactive markers").</w:t>
      </w:r>
    </w:p>
    <w:p>
      <w:pPr>
        <w:pStyle w:val="ListBullet"/>
      </w:pPr>
      <w:r>
        <w:t>Map: Leaflet container has aria-label="Interactive map of Zimbabwe tourism destinations." Circle markers have popup content accessible via keyboard.</w:t>
      </w:r>
    </w:p>
    <w:p>
      <w:pPr>
        <w:pStyle w:val="ListBullet"/>
      </w:pPr>
      <w:r>
        <w:t>Tables: Destination scorecard uses &lt;caption&gt; element with descriptive text.</w:t>
      </w:r>
    </w:p>
    <w:p>
      <w:pPr>
        <w:pStyle w:val="ListBullet"/>
      </w:pPr>
      <w:r>
        <w:t>Filters: Select triggers have aria-label="Filter by month." Toggle chips have aria-pressed state. Filter groups have role="group" with aria-label.</w:t>
      </w:r>
    </w:p>
    <w:p>
      <w:pPr>
        <w:pStyle w:val="ListBullet"/>
      </w:pPr>
      <w:r>
        <w:t>KPI Strip: Has role="region" with aria-label="National summary KPIs."</w:t>
      </w:r>
    </w:p>
    <w:p>
      <w:pPr>
        <w:pStyle w:val="Heading2"/>
      </w:pPr>
      <w:r>
        <w:t>Responsive Layout</w:t>
      </w:r>
    </w:p>
    <w:p>
      <w:pPr/>
      <w:r>
        <w:t>The dashboard adapts fluidly across four breakpoints:</w:t>
      </w:r>
    </w:p>
    <w:p>
      <w:pPr>
        <w:pStyle w:val="ListBullet"/>
      </w:pPr>
      <w:r>
        <w:t>320px (mobile): Single-column layout, stacked filters, scrollable table.</w:t>
      </w:r>
    </w:p>
    <w:p>
      <w:pPr>
        <w:pStyle w:val="ListBullet"/>
      </w:pPr>
      <w:r>
        <w:t>768px (tablet): Two-column grid for charts and maps.</w:t>
      </w:r>
    </w:p>
    <w:p>
      <w:pPr>
        <w:pStyle w:val="ListBullet"/>
      </w:pPr>
      <w:r>
        <w:t>1024px (desktop): Full five-column grid layout with side-by-side panels.</w:t>
      </w:r>
    </w:p>
    <w:p>
      <w:pPr>
        <w:pStyle w:val="ListBullet"/>
      </w:pPr>
      <w:r>
        <w:t>1920px (wide): Max-width container (1180px), centered content.</w:t>
      </w:r>
    </w:p>
    <w:p>
      <w:pPr>
        <w:pStyle w:val="Heading2"/>
      </w:pPr>
      <w:r>
        <w:t>Keyboard Navigation</w:t>
      </w:r>
    </w:p>
    <w:p>
      <w:pPr/>
      <w:r>
        <w:t>All interactive elements are reachable via Tab. Filter chips are operable with Enter/Space. Select dropdowns support arrow-key navigation. The Leaflet map supports zoom via keyboard. The theme toggle button is accessible via Tab.</w:t>
      </w:r>
    </w:p>
    <w:p>
      <w:r>
        <w:br w:type="page"/>
      </w:r>
    </w:p>
    <w:p>
      <w:pPr>
        <w:pStyle w:val="Heading1"/>
      </w:pPr>
      <w:r>
        <w:t>5. Dataset Binding &amp; Asset Licensing</w:t>
      </w:r>
    </w:p>
    <w:p>
      <w:pPr>
        <w:pStyle w:val="Heading2"/>
      </w:pPr>
      <w:r>
        <w:t>Dataset Integration</w:t>
      </w:r>
    </w:p>
    <w:p>
      <w:pPr/>
      <w:r>
        <w:t>The dashboard dynamically binds to the provided CSV dataset file 04_tourism_destination_insights.csv. The data flow is:</w:t>
      </w:r>
    </w:p>
    <w:p>
      <w:pPr>
        <w:pStyle w:val="ListBullet"/>
      </w:pPr>
      <w:r>
        <w:t>Build time: A server-side CSV parser (src/lib/csv-loader.ts) reads the file from public/data/ and parses all 48 records into typed TypeScript objects.</w:t>
      </w:r>
    </w:p>
    <w:p>
      <w:pPr>
        <w:pStyle w:val="ListBullet"/>
      </w:pPr>
      <w:r>
        <w:t>Server render: The page component passes the parsed data as props to the client dashboard component.</w:t>
      </w:r>
    </w:p>
    <w:p>
      <w:pPr>
        <w:pStyle w:val="ListBullet"/>
      </w:pPr>
      <w:r>
        <w:t>Client runtime: A custom React hook (useTourismData) manages filter state and computes all derived data: KPIs, trend data, destination aggregations, complaint frequencies, revenue rankings, and demographics.</w:t>
      </w:r>
    </w:p>
    <w:p>
      <w:pPr>
        <w:pStyle w:val="ListBullet"/>
      </w:pPr>
      <w:r>
        <w:t>Reactivity: Filter changes trigger recomputation — no hardcoded values. Changing the month filter updates all charts, KPIs, insights, and action cards instantly.</w:t>
      </w:r>
    </w:p>
    <w:p>
      <w:pPr/>
      <w:r>
        <w:t>The dataset contains 48 records: 8 destinations × 6 months (January–June 2026). Fields include visitor_count, estimated_total_spend_usd, service_quality_score_0_100, digital_booking_share_pct, domestic_visitor_share_pct, accommodation_occupancy_pct, avg_spend_usd_per_visitor, transport_access_score_0_100, and top_complaint_theme.</w:t>
      </w:r>
    </w:p>
    <w:p>
      <w:pPr>
        <w:pStyle w:val="Heading2"/>
      </w:pPr>
      <w:r>
        <w:t>Asset Licensing Register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26324A"/>
          </w:tcPr>
          <w:p>
            <w:r/>
            <w:r>
              <w:rPr>
                <w:b/>
                <w:color w:val="FFFFFF"/>
                <w:sz w:val="19"/>
              </w:rPr>
              <w:t>Asset</w:t>
            </w:r>
          </w:p>
        </w:tc>
        <w:tc>
          <w:tcPr>
            <w:tcW w:type="dxa" w:w="1728"/>
            <w:shd w:val="clear" w:color="auto" w:fill="26324A"/>
          </w:tcPr>
          <w:p>
            <w:r/>
            <w:r>
              <w:rPr>
                <w:b/>
                <w:color w:val="FFFFFF"/>
                <w:sz w:val="19"/>
              </w:rPr>
              <w:t>Source</w:t>
            </w:r>
          </w:p>
        </w:tc>
        <w:tc>
          <w:tcPr>
            <w:tcW w:type="dxa" w:w="1440"/>
            <w:shd w:val="clear" w:color="auto" w:fill="26324A"/>
          </w:tcPr>
          <w:p>
            <w:r/>
            <w:r>
              <w:rPr>
                <w:b/>
                <w:color w:val="FFFFFF"/>
                <w:sz w:val="19"/>
              </w:rPr>
              <w:t>License</w:t>
            </w:r>
          </w:p>
        </w:tc>
        <w:tc>
          <w:tcPr>
            <w:tcW w:type="dxa" w:w="3168"/>
            <w:shd w:val="clear" w:color="auto" w:fill="26324A"/>
          </w:tcPr>
          <w:p>
            <w:r/>
            <w:r>
              <w:rPr>
                <w:b/>
                <w:color w:val="FFFFFF"/>
                <w:sz w:val="19"/>
              </w:rPr>
              <w:t>Usage</w:t>
            </w:r>
          </w:p>
        </w:tc>
      </w:tr>
      <w:tr>
        <w:tc>
          <w:tcPr>
            <w:tcW w:type="dxa" w:w="2880"/>
            <w:shd w:val="clear" w:color="auto" w:fill="F5F7FB"/>
          </w:tcPr>
          <w:p>
            <w:r/>
            <w:r>
              <w:rPr>
                <w:sz w:val="19"/>
              </w:rPr>
              <w:t>Geist Sans</w:t>
            </w:r>
          </w:p>
        </w:tc>
        <w:tc>
          <w:tcPr>
            <w:tcW w:type="dxa" w:w="1728"/>
            <w:shd w:val="clear" w:color="auto" w:fill="F5F7FB"/>
          </w:tcPr>
          <w:p>
            <w:r/>
            <w:r>
              <w:rPr>
                <w:sz w:val="19"/>
              </w:rPr>
              <w:t>Vercel (next/font)</w:t>
            </w:r>
          </w:p>
        </w:tc>
        <w:tc>
          <w:tcPr>
            <w:tcW w:type="dxa" w:w="1440"/>
            <w:shd w:val="clear" w:color="auto" w:fill="F5F7FB"/>
          </w:tcPr>
          <w:p>
            <w:r/>
            <w:r>
              <w:rPr>
                <w:sz w:val="19"/>
              </w:rPr>
              <w:t>OFL 1.1</w:t>
            </w:r>
          </w:p>
        </w:tc>
        <w:tc>
          <w:tcPr>
            <w:tcW w:type="dxa" w:w="3168"/>
            <w:shd w:val="clear" w:color="auto" w:fill="F5F7FB"/>
          </w:tcPr>
          <w:p>
            <w:r/>
            <w:r>
              <w:rPr>
                <w:sz w:val="19"/>
              </w:rPr>
              <w:t>Body text, headings</w:t>
            </w:r>
          </w:p>
        </w:tc>
      </w:tr>
      <w:tr>
        <w:tc>
          <w:tcPr>
            <w:tcW w:type="dxa" w:w="2880"/>
          </w:tcPr>
          <w:p>
            <w:r/>
            <w:r>
              <w:rPr>
                <w:sz w:val="19"/>
              </w:rPr>
              <w:t>Geist Mono</w:t>
            </w:r>
          </w:p>
        </w:tc>
        <w:tc>
          <w:tcPr>
            <w:tcW w:type="dxa" w:w="1728"/>
          </w:tcPr>
          <w:p>
            <w:r/>
            <w:r>
              <w:rPr>
                <w:sz w:val="19"/>
              </w:rPr>
              <w:t>Vercel (next/font)</w:t>
            </w:r>
          </w:p>
        </w:tc>
        <w:tc>
          <w:tcPr>
            <w:tcW w:type="dxa" w:w="1440"/>
          </w:tcPr>
          <w:p>
            <w:r/>
            <w:r>
              <w:rPr>
                <w:sz w:val="19"/>
              </w:rPr>
              <w:t>OFL 1.1</w:t>
            </w:r>
          </w:p>
        </w:tc>
        <w:tc>
          <w:tcPr>
            <w:tcW w:type="dxa" w:w="3168"/>
          </w:tcPr>
          <w:p>
            <w:r/>
            <w:r>
              <w:rPr>
                <w:sz w:val="19"/>
              </w:rPr>
              <w:t>Monospace elements</w:t>
            </w:r>
          </w:p>
        </w:tc>
      </w:tr>
      <w:tr>
        <w:tc>
          <w:tcPr>
            <w:tcW w:type="dxa" w:w="2880"/>
            <w:shd w:val="clear" w:color="auto" w:fill="F5F7FB"/>
          </w:tcPr>
          <w:p>
            <w:r/>
            <w:r>
              <w:rPr>
                <w:sz w:val="19"/>
              </w:rPr>
              <w:t>Lucide React</w:t>
            </w:r>
          </w:p>
        </w:tc>
        <w:tc>
          <w:tcPr>
            <w:tcW w:type="dxa" w:w="1728"/>
            <w:shd w:val="clear" w:color="auto" w:fill="F5F7FB"/>
          </w:tcPr>
          <w:p>
            <w:r/>
            <w:r>
              <w:rPr>
                <w:sz w:val="19"/>
              </w:rPr>
              <w:t>npm</w:t>
            </w:r>
          </w:p>
        </w:tc>
        <w:tc>
          <w:tcPr>
            <w:tcW w:type="dxa" w:w="1440"/>
            <w:shd w:val="clear" w:color="auto" w:fill="F5F7FB"/>
          </w:tcPr>
          <w:p>
            <w:r/>
            <w:r>
              <w:rPr>
                <w:sz w:val="19"/>
              </w:rPr>
              <w:t>ISC</w:t>
            </w:r>
          </w:p>
        </w:tc>
        <w:tc>
          <w:tcPr>
            <w:tcW w:type="dxa" w:w="3168"/>
            <w:shd w:val="clear" w:color="auto" w:fill="F5F7FB"/>
          </w:tcPr>
          <w:p>
            <w:r/>
            <w:r>
              <w:rPr>
                <w:sz w:val="19"/>
              </w:rPr>
              <w:t>All UI icons</w:t>
            </w:r>
          </w:p>
        </w:tc>
      </w:tr>
      <w:tr>
        <w:tc>
          <w:tcPr>
            <w:tcW w:type="dxa" w:w="2880"/>
          </w:tcPr>
          <w:p>
            <w:r/>
            <w:r>
              <w:rPr>
                <w:sz w:val="19"/>
              </w:rPr>
              <w:t>shadcn/ui</w:t>
            </w:r>
          </w:p>
        </w:tc>
        <w:tc>
          <w:tcPr>
            <w:tcW w:type="dxa" w:w="1728"/>
          </w:tcPr>
          <w:p>
            <w:r/>
            <w:r>
              <w:rPr>
                <w:sz w:val="19"/>
              </w:rPr>
              <w:t>npm</w:t>
            </w:r>
          </w:p>
        </w:tc>
        <w:tc>
          <w:tcPr>
            <w:tcW w:type="dxa" w:w="1440"/>
          </w:tcPr>
          <w:p>
            <w:r/>
            <w:r>
              <w:rPr>
                <w:sz w:val="19"/>
              </w:rPr>
              <w:t>MIT</w:t>
            </w:r>
          </w:p>
        </w:tc>
        <w:tc>
          <w:tcPr>
            <w:tcW w:type="dxa" w:w="3168"/>
          </w:tcPr>
          <w:p>
            <w:r/>
            <w:r>
              <w:rPr>
                <w:sz w:val="19"/>
              </w:rPr>
              <w:t>Card, Badge, Button, Table, Select, etc.</w:t>
            </w:r>
          </w:p>
        </w:tc>
      </w:tr>
      <w:tr>
        <w:tc>
          <w:tcPr>
            <w:tcW w:type="dxa" w:w="2880"/>
            <w:shd w:val="clear" w:color="auto" w:fill="F5F7FB"/>
          </w:tcPr>
          <w:p>
            <w:r/>
            <w:r>
              <w:rPr>
                <w:sz w:val="19"/>
              </w:rPr>
              <w:t>Tailwind CSS 4</w:t>
            </w:r>
          </w:p>
        </w:tc>
        <w:tc>
          <w:tcPr>
            <w:tcW w:type="dxa" w:w="1728"/>
            <w:shd w:val="clear" w:color="auto" w:fill="F5F7FB"/>
          </w:tcPr>
          <w:p>
            <w:r/>
            <w:r>
              <w:rPr>
                <w:sz w:val="19"/>
              </w:rPr>
              <w:t>npm</w:t>
            </w:r>
          </w:p>
        </w:tc>
        <w:tc>
          <w:tcPr>
            <w:tcW w:type="dxa" w:w="1440"/>
            <w:shd w:val="clear" w:color="auto" w:fill="F5F7FB"/>
          </w:tcPr>
          <w:p>
            <w:r/>
            <w:r>
              <w:rPr>
                <w:sz w:val="19"/>
              </w:rPr>
              <w:t>MIT</w:t>
            </w:r>
          </w:p>
        </w:tc>
        <w:tc>
          <w:tcPr>
            <w:tcW w:type="dxa" w:w="3168"/>
            <w:shd w:val="clear" w:color="auto" w:fill="F5F7FB"/>
          </w:tcPr>
          <w:p>
            <w:r/>
            <w:r>
              <w:rPr>
                <w:sz w:val="19"/>
              </w:rPr>
              <w:t>Utility-first CSS</w:t>
            </w:r>
          </w:p>
        </w:tc>
      </w:tr>
      <w:tr>
        <w:tc>
          <w:tcPr>
            <w:tcW w:type="dxa" w:w="2880"/>
          </w:tcPr>
          <w:p>
            <w:r/>
            <w:r>
              <w:rPr>
                <w:sz w:val="19"/>
              </w:rPr>
              <w:t>Recharts</w:t>
            </w:r>
          </w:p>
        </w:tc>
        <w:tc>
          <w:tcPr>
            <w:tcW w:type="dxa" w:w="1728"/>
          </w:tcPr>
          <w:p>
            <w:r/>
            <w:r>
              <w:rPr>
                <w:sz w:val="19"/>
              </w:rPr>
              <w:t>npm</w:t>
            </w:r>
          </w:p>
        </w:tc>
        <w:tc>
          <w:tcPr>
            <w:tcW w:type="dxa" w:w="1440"/>
          </w:tcPr>
          <w:p>
            <w:r/>
            <w:r>
              <w:rPr>
                <w:sz w:val="19"/>
              </w:rPr>
              <w:t>MIT</w:t>
            </w:r>
          </w:p>
        </w:tc>
        <w:tc>
          <w:tcPr>
            <w:tcW w:type="dxa" w:w="3168"/>
          </w:tcPr>
          <w:p>
            <w:r/>
            <w:r>
              <w:rPr>
                <w:sz w:val="19"/>
              </w:rPr>
              <w:t>LineChart, BarChart</w:t>
            </w:r>
          </w:p>
        </w:tc>
      </w:tr>
      <w:tr>
        <w:tc>
          <w:tcPr>
            <w:tcW w:type="dxa" w:w="2880"/>
            <w:shd w:val="clear" w:color="auto" w:fill="F5F7FB"/>
          </w:tcPr>
          <w:p>
            <w:r/>
            <w:r>
              <w:rPr>
                <w:sz w:val="19"/>
              </w:rPr>
              <w:t>Leaflet</w:t>
            </w:r>
          </w:p>
        </w:tc>
        <w:tc>
          <w:tcPr>
            <w:tcW w:type="dxa" w:w="1728"/>
            <w:shd w:val="clear" w:color="auto" w:fill="F5F7FB"/>
          </w:tcPr>
          <w:p>
            <w:r/>
            <w:r>
              <w:rPr>
                <w:sz w:val="19"/>
              </w:rPr>
              <w:t>npm</w:t>
            </w:r>
          </w:p>
        </w:tc>
        <w:tc>
          <w:tcPr>
            <w:tcW w:type="dxa" w:w="1440"/>
            <w:shd w:val="clear" w:color="auto" w:fill="F5F7FB"/>
          </w:tcPr>
          <w:p>
            <w:r/>
            <w:r>
              <w:rPr>
                <w:sz w:val="19"/>
              </w:rPr>
              <w:t>BSD-2</w:t>
            </w:r>
          </w:p>
        </w:tc>
        <w:tc>
          <w:tcPr>
            <w:tcW w:type="dxa" w:w="3168"/>
            <w:shd w:val="clear" w:color="auto" w:fill="F5F7FB"/>
          </w:tcPr>
          <w:p>
            <w:r/>
            <w:r>
              <w:rPr>
                <w:sz w:val="19"/>
              </w:rPr>
              <w:t>Interactive map</w:t>
            </w:r>
          </w:p>
        </w:tc>
      </w:tr>
      <w:tr>
        <w:tc>
          <w:tcPr>
            <w:tcW w:type="dxa" w:w="2880"/>
          </w:tcPr>
          <w:p>
            <w:r/>
            <w:r>
              <w:rPr>
                <w:sz w:val="19"/>
              </w:rPr>
              <w:t>react-leaflet</w:t>
            </w:r>
          </w:p>
        </w:tc>
        <w:tc>
          <w:tcPr>
            <w:tcW w:type="dxa" w:w="1728"/>
          </w:tcPr>
          <w:p>
            <w:r/>
            <w:r>
              <w:rPr>
                <w:sz w:val="19"/>
              </w:rPr>
              <w:t>npm</w:t>
            </w:r>
          </w:p>
        </w:tc>
        <w:tc>
          <w:tcPr>
            <w:tcW w:type="dxa" w:w="1440"/>
          </w:tcPr>
          <w:p>
            <w:r/>
            <w:r>
              <w:rPr>
                <w:sz w:val="19"/>
              </w:rPr>
              <w:t>ISC</w:t>
            </w:r>
          </w:p>
        </w:tc>
        <w:tc>
          <w:tcPr>
            <w:tcW w:type="dxa" w:w="3168"/>
          </w:tcPr>
          <w:p>
            <w:r/>
            <w:r>
              <w:rPr>
                <w:sz w:val="19"/>
              </w:rPr>
              <w:t>React Leaflet bindings</w:t>
            </w:r>
          </w:p>
        </w:tc>
      </w:tr>
      <w:tr>
        <w:tc>
          <w:tcPr>
            <w:tcW w:type="dxa" w:w="2880"/>
            <w:shd w:val="clear" w:color="auto" w:fill="F5F7FB"/>
          </w:tcPr>
          <w:p>
            <w:r/>
            <w:r>
              <w:rPr>
                <w:sz w:val="19"/>
              </w:rPr>
              <w:t>OpenStreetMap</w:t>
            </w:r>
          </w:p>
        </w:tc>
        <w:tc>
          <w:tcPr>
            <w:tcW w:type="dxa" w:w="1728"/>
            <w:shd w:val="clear" w:color="auto" w:fill="F5F7FB"/>
          </w:tcPr>
          <w:p>
            <w:r/>
            <w:r>
              <w:rPr>
                <w:sz w:val="19"/>
              </w:rPr>
              <w:t>osm.org</w:t>
            </w:r>
          </w:p>
        </w:tc>
        <w:tc>
          <w:tcPr>
            <w:tcW w:type="dxa" w:w="1440"/>
            <w:shd w:val="clear" w:color="auto" w:fill="F5F7FB"/>
          </w:tcPr>
          <w:p>
            <w:r/>
            <w:r>
              <w:rPr>
                <w:sz w:val="19"/>
              </w:rPr>
              <w:t>ODbL</w:t>
            </w:r>
          </w:p>
        </w:tc>
        <w:tc>
          <w:tcPr>
            <w:tcW w:type="dxa" w:w="3168"/>
            <w:shd w:val="clear" w:color="auto" w:fill="F5F7FB"/>
          </w:tcPr>
          <w:p>
            <w:r/>
            <w:r>
              <w:rPr>
                <w:sz w:val="19"/>
              </w:rPr>
              <w:t>Map tiles</w:t>
            </w:r>
          </w:p>
        </w:tc>
      </w:tr>
      <w:tr>
        <w:tc>
          <w:tcPr>
            <w:tcW w:type="dxa" w:w="2880"/>
          </w:tcPr>
          <w:p>
            <w:r/>
            <w:r>
              <w:rPr>
                <w:sz w:val="19"/>
              </w:rPr>
              <w:t>Next.js 16</w:t>
            </w:r>
          </w:p>
        </w:tc>
        <w:tc>
          <w:tcPr>
            <w:tcW w:type="dxa" w:w="1728"/>
          </w:tcPr>
          <w:p>
            <w:r/>
            <w:r>
              <w:rPr>
                <w:sz w:val="19"/>
              </w:rPr>
              <w:t>npm</w:t>
            </w:r>
          </w:p>
        </w:tc>
        <w:tc>
          <w:tcPr>
            <w:tcW w:type="dxa" w:w="1440"/>
          </w:tcPr>
          <w:p>
            <w:r/>
            <w:r>
              <w:rPr>
                <w:sz w:val="19"/>
              </w:rPr>
              <w:t>MIT</w:t>
            </w:r>
          </w:p>
        </w:tc>
        <w:tc>
          <w:tcPr>
            <w:tcW w:type="dxa" w:w="3168"/>
          </w:tcPr>
          <w:p>
            <w:r/>
            <w:r>
              <w:rPr>
                <w:sz w:val="19"/>
              </w:rPr>
              <w:t>Framework</w:t>
            </w:r>
          </w:p>
        </w:tc>
      </w:tr>
      <w:tr>
        <w:tc>
          <w:tcPr>
            <w:tcW w:type="dxa" w:w="2880"/>
            <w:shd w:val="clear" w:color="auto" w:fill="F5F7FB"/>
          </w:tcPr>
          <w:p>
            <w:r/>
            <w:r>
              <w:rPr>
                <w:sz w:val="19"/>
              </w:rPr>
              <w:t>React 19</w:t>
            </w:r>
          </w:p>
        </w:tc>
        <w:tc>
          <w:tcPr>
            <w:tcW w:type="dxa" w:w="1728"/>
            <w:shd w:val="clear" w:color="auto" w:fill="F5F7FB"/>
          </w:tcPr>
          <w:p>
            <w:r/>
            <w:r>
              <w:rPr>
                <w:sz w:val="19"/>
              </w:rPr>
              <w:t>npm</w:t>
            </w:r>
          </w:p>
        </w:tc>
        <w:tc>
          <w:tcPr>
            <w:tcW w:type="dxa" w:w="1440"/>
            <w:shd w:val="clear" w:color="auto" w:fill="F5F7FB"/>
          </w:tcPr>
          <w:p>
            <w:r/>
            <w:r>
              <w:rPr>
                <w:sz w:val="19"/>
              </w:rPr>
              <w:t>MIT</w:t>
            </w:r>
          </w:p>
        </w:tc>
        <w:tc>
          <w:tcPr>
            <w:tcW w:type="dxa" w:w="3168"/>
            <w:shd w:val="clear" w:color="auto" w:fill="F5F7FB"/>
          </w:tcPr>
          <w:p>
            <w:r/>
            <w:r>
              <w:rPr>
                <w:sz w:val="19"/>
              </w:rPr>
              <w:t>UI library</w:t>
            </w:r>
          </w:p>
        </w:tc>
      </w:tr>
      <w:tr>
        <w:tc>
          <w:tcPr>
            <w:tcW w:type="dxa" w:w="2880"/>
          </w:tcPr>
          <w:p>
            <w:r/>
            <w:r>
              <w:rPr>
                <w:sz w:val="19"/>
              </w:rPr>
              <w:t>04_tourism_destination_insights.csv</w:t>
            </w:r>
          </w:p>
        </w:tc>
        <w:tc>
          <w:tcPr>
            <w:tcW w:type="dxa" w:w="1728"/>
          </w:tcPr>
          <w:p>
            <w:r/>
            <w:r>
              <w:rPr>
                <w:sz w:val="19"/>
              </w:rPr>
              <w:t>POTRAZ AI4I</w:t>
            </w:r>
          </w:p>
        </w:tc>
        <w:tc>
          <w:tcPr>
            <w:tcW w:type="dxa" w:w="1440"/>
          </w:tcPr>
          <w:p>
            <w:r/>
            <w:r>
              <w:rPr>
                <w:sz w:val="19"/>
              </w:rPr>
              <w:t>Challenge-provided</w:t>
            </w:r>
          </w:p>
        </w:tc>
        <w:tc>
          <w:tcPr>
            <w:tcW w:type="dxa" w:w="3168"/>
          </w:tcPr>
          <w:p>
            <w:r/>
            <w:r>
              <w:rPr>
                <w:sz w:val="19"/>
              </w:rPr>
              <w:t>Dashboard data</w:t>
            </w:r>
          </w:p>
        </w:tc>
      </w:tr>
    </w:tbl>
    <w:p/>
    <w:p>
      <w:pPr>
        <w:pStyle w:val="Heading2"/>
      </w:pPr>
      <w:r>
        <w:t>Data Rights</w:t>
      </w:r>
    </w:p>
    <w:p>
      <w:pPr/>
      <w:r>
        <w:t>All data is synthetic aggregate sample data provided by POTRAZ for the AI4I challenge. The dataset contains no personal names, phone numbers, ID numbers, household addresses, or individual health records. Coordinates are approximate centroids for prototyping only. The dashboard is clearly labeled: 'Synthetic aggregate sample data generated for the POTRAZ AI4I Design Track. Not official tourism statistics.'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