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本记录由工作流在策略参数或市场状态变化时自动更新，每条调整都遵循“发现的问题 → 验证方式 → 调整内容 → 预期效果 → 可能风险”的证据链。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一、调整历程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原策略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发现的问题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预期效果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初始建仓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候选池评分选股，单只≤30%，止盈9%/止损8%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建立初始组合：宽基ETF底仓 + 评分前列个股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分散风险、跟踪市场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运行中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止盈9%/止损8%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技术面恶化（MACD死叉且技术分&lt;45）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减少回撤、执行纪律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震荡市中可能被反复洗出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第一次策略升级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固定止盈+9%；单日最多建仓3只；ETF底仓约20%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回测发现固定止盈在震荡市被反复洗出；换手越高收益越低（12笔&gt;64笔&gt;110笔&gt;359笔）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改为移动止损（自持仓最高价回撤12%）替代固定止盈；ETF底仓目标权重提至30%；单日最多建仓降为2只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减少无效交易与手续费损耗，让盈利标的充分奔跑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趋势反转时回撤可能大于固定止盈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2026-09-08</w:t>
              <w:br/>
              <w:t>数据源加固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单一东方财富接口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东财接口偶发 502/超时，导致云端流水线 exit 1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增加腾讯备用数据源（只补缺口不覆盖东财口径）+ 缓存回退 + 收盘数据自愈重试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云端连续运行不再因单一数据源抖动中断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6"/>
              </w:rPr>
              <w:t>两套复权口径混用风险（已用数据溯源规则约束）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二、回测验证（2025-04-09 ~ 2026-09-11，350 个交易日）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回测采用离线行情缓存、决策日收盘生成信号、次日开盘成交，与线上逻辑对齐。重要前提：用“今天的财务数据”回测过去会产生前视偏差：打乱基本面分数后收益从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卖出胜率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46%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移动止损：自最高价回撤12%离场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</w:tr>
      <w:tr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对照：等权买入持有观察池12只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0%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结论：①固定止盈在震荡市被反复洗出（无偏口径 15.45%），改为移动止损（自最高价回撤12%）后收益 33.40%、最大回撤 -11.58%，交易笔数由 106 笔降到 61 笔——换手越低，费用与择时损耗越小。②宽基ETF底仓提供基准收益，个股负责超额。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三、当前生效参数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取值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单只持仓上限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任务书硬性要求，规则引擎拦截超限买入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现金下限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保留补仓与抗回撤能力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单只目标仓位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留出安全边际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宽基ETF底仓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30%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分散个股风险、贴近基准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自最高价回撤12%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替代固定止盈，回测收益最优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固定止损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-8%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保护本金，始终生效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开仓评分门槛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60分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综合评分（基本面50%+技术面50%）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单日最多建仓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2只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降低换手与冲击成本</w:t>
            </w:r>
          </w:p>
        </w:tc>
      </w:tr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交易频率下限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每两周1笔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任务书要求，避免长期空仓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四、后续观察与调整原则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当前候选池前3位：紫金矿业、美的集团、立讯精密。后续按三条原则滚动调整：①任何参数改动先用回测验证，并保留无偏对照；②以决策后 T+5/T+10/T+20 的超额收益检验策略是否真的有效；③调整记录与AI使用记录同步更新，保证证据链完整。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