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模拟交易委托指令单（2026-09-07）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510300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1199743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综合评分55.5分（基本面60.0/技术面51.0）达标，目标仓位24%，买入后占比24.0%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601899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32.87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36500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1199755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综合评分78.0分（基本面100/技术面56.0）达标，目标仓位24%，买入后占比24.0%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601318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56.36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1194832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综合评分72.0分（基本面82.0/技术面62.0）达标，目标仓位24%，买入后占比23.9%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