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交易复盘（2026-09-11）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490.54万元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-1.89%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106.83万元（21.8%）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2564元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-18152.0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4.562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-20453.0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-1.70%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55.15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-20564.0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-1.73%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26300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33.927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32.22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-44882.0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-5.03%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5903.0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+2.28%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19000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最差交易为601899（-18152元），需在后续复盘中检视买入依据是否充分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