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486.43万元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-2.71%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-0.89%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-1.82%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-1.53 万元（现价4.582，成本4.64）。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-5.00 万元（现价53.37，成本56.12）。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+0.00 万元（现价31.41，成本31.41）。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+0.36 万元（现价28.27，成本27.89）。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-0.15 万元（现价10.31，成本10.47）。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-0.46 万元（现价16.61，成本17.52）。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+1.85 万元（现价38.9，成本35.87）。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+0.32 万元（现价143.06，成本136.73）。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+0.08 万元（现价7.5，成本7.33）。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+0.08 万元（现价22.36，成本20.76）。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+0.92 万元（现价186.8，成本177.58）。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+0.25 万元（现价160.0，成本158.08）。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+0.06 万元（现价43.3，成本42.65）。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+0.28 万元（现价44.26，成本43.56）。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4113 元，占初始资金 0.082%。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