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交易复盘（2026-10-09）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482.72万元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-3.46%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95.84万元（19.9%）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52.83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-59878.0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-5.86%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29092.0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+2.51%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28.99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10274.0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+3.96%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297.75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12045.0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+3.82%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