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策略调整记录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本记录由工作流在策略参数或市场状态变化时自动更新，每条调整都遵循“发现的问题 → 验证方式 → 调整内容 → 预期效果 → 可能风险”的证据链。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一、调整历程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时间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原策略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发现的问题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预期效果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可能风险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初始建仓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候选池评分选股，单只≤30%，止盈9%/止损8%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建立初始组合：宽基ETF底仓 + 评分前列个股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分散风险、跟踪市场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市场急跌时底仓同样受损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运行中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止盈9%/止损8%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技术面恶化（MACD死叉且技术分&lt;45）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提前于止盈/止损线离场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减少回撤、执行纪律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震荡市中可能被反复洗出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2026-09-08</w:t>
              <w:br/>
              <w:t>第一次策略升级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固定止盈+9%；单日最多建仓3只；ETF底仓约20%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回测发现固定止盈在震荡市被反复洗出；换手越高收益越低（12笔&gt;64笔&gt;110笔&gt;359笔）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改为移动止损（自持仓最高价回撤12%）替代固定止盈；ETF底仓目标权重提至30%；单日最多建仓降为2只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减少无效交易与手续费损耗，让盈利标的充分奔跑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趋势反转时回撤可能大于固定止盈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2026-09-08</w:t>
              <w:br/>
              <w:t>数据源加固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单一东方财富接口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东财接口偶发 502/超时，导致云端流水线 exit 1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增加腾讯备用数据源（只补缺口不覆盖东财口径）+ 缓存回退 + 收盘数据自愈重试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云端连续运行不再因单一数据源抖动中断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两套复权口径混用风险（已用数据溯源规则约束）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二、回测验证（2025-04-09 ~ 2026-09-11，350 个交易日）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回测采用离线行情缓存、决策日收盘生成信号、次日开盘成交，与线上逻辑对齐。重要前提：用“今天的财务数据”回测过去会产生前视偏差：打乱基本面分数后收益从 51.92% 掉到 8.69%，而基本面统一为中性60分的口径为 9.88%，因此正式结论以中性口径的无偏对照为准。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离场规则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总收益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交易笔数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卖出胜率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固定止盈+9%/止损-8%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15.45%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-10.71%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46%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跌破20日均线离场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5.32%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-15.74%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0.31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移动止损：自最高价回撤12%离场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33.40%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-11.58%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1.34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对照：等权买入持有观察池12只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20.95%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-8.35%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1.16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结论：①固定止盈在震荡市被反复洗出（无偏口径 15.45%），改为移动止损（自最高价回撤12%）后收益 33.40%、最大回撤 -11.58%，交易笔数由 106 笔降到 61 笔——换手越低，费用与择时损耗越小。②宽基ETF底仓提供基准收益，个股负责超额。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三、当前生效参数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单只持仓上限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任务书硬性要求，规则引擎拦截超限买入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现金下限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保留补仓与抗回撤能力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单只目标仓位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24%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留出安全边际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宽基ETF底仓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分散个股风险、贴近基准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自最高价回撤12%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替代固定止盈，回测收益最优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保护本金，始终生效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开仓评分门槛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60分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综合评分（基本面50%+技术面50%）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单日最多建仓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2只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降低换手与冲击成本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交易频率下限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每两周1笔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任务书要求，避免长期空仓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四、后续观察与调整原则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当前候选池前3位：紫金矿业、长江电力、立讯精密。后续按三条原则滚动调整：①任何参数改动先用回测验证，并保留无偏对照；②以决策后 T+5/T+10/T+20 的超额收益检验策略是否真的有效；③调整记录与AI使用记录同步更新，保证证据链完整。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