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交易复盘（2026-09-07）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140.57万元（28.1%）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899元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暂无平仓交易。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4.634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56.36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56.36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组合运行正常：持仓均处于纪律区间内，按计划继续持有观察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